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08" w:type="dxa"/>
        <w:tblLayout w:type="fixed"/>
        <w:tblLook w:val="04A0" w:firstRow="1" w:lastRow="0" w:firstColumn="1" w:lastColumn="0" w:noHBand="0" w:noVBand="1"/>
      </w:tblPr>
      <w:tblGrid>
        <w:gridCol w:w="2438"/>
        <w:gridCol w:w="6406"/>
      </w:tblGrid>
      <w:tr w:rsidRPr="00975B07" w:rsidR="00CE544A" w:rsidTr="62B73EE3" w14:paraId="04473DCA" w14:textId="77777777">
        <w:tc>
          <w:tcPr>
            <w:tcW w:w="2438" w:type="dxa"/>
            <w:shd w:val="clear" w:color="auto" w:fill="auto"/>
          </w:tcPr>
          <w:p w:rsidRPr="00975B07" w:rsidR="00F445B1" w:rsidP="004A6D2F" w:rsidRDefault="00F445B1" w14:paraId="334BE3F6" w14:textId="77777777">
            <w:pPr>
              <w:rPr>
                <w:rStyle w:val="Firstpagetablebold"/>
              </w:rPr>
            </w:pPr>
            <w:r w:rsidRPr="00975B07">
              <w:rPr>
                <w:rStyle w:val="Firstpagetablebold"/>
              </w:rPr>
              <w:t>To</w:t>
            </w:r>
            <w:r w:rsidRPr="00975B07" w:rsidR="005C35A5">
              <w:rPr>
                <w:rStyle w:val="Firstpagetablebold"/>
              </w:rPr>
              <w:t>:</w:t>
            </w:r>
          </w:p>
        </w:tc>
        <w:tc>
          <w:tcPr>
            <w:tcW w:w="6406" w:type="dxa"/>
            <w:shd w:val="clear" w:color="auto" w:fill="auto"/>
          </w:tcPr>
          <w:p w:rsidRPr="00F95BC9" w:rsidR="00F445B1" w:rsidP="004A6D2F" w:rsidRDefault="00EB5E23" w14:paraId="017518DB" w14:textId="7B247FED">
            <w:pPr>
              <w:rPr>
                <w:rStyle w:val="Firstpagetablebold"/>
              </w:rPr>
            </w:pPr>
            <w:r>
              <w:rPr>
                <w:rStyle w:val="Firstpagetablebold"/>
              </w:rPr>
              <w:t>Council</w:t>
            </w:r>
          </w:p>
        </w:tc>
      </w:tr>
      <w:tr w:rsidRPr="00975B07" w:rsidR="00CE544A" w:rsidTr="62B73EE3" w14:paraId="705FA4FB" w14:textId="77777777">
        <w:tc>
          <w:tcPr>
            <w:tcW w:w="2438" w:type="dxa"/>
            <w:shd w:val="clear" w:color="auto" w:fill="auto"/>
          </w:tcPr>
          <w:p w:rsidRPr="00975B07" w:rsidR="00F445B1" w:rsidP="004A6D2F" w:rsidRDefault="00F445B1" w14:paraId="3C1A12A6" w14:textId="77777777">
            <w:pPr>
              <w:rPr>
                <w:rStyle w:val="Firstpagetablebold"/>
              </w:rPr>
            </w:pPr>
            <w:r w:rsidRPr="00975B07">
              <w:rPr>
                <w:rStyle w:val="Firstpagetablebold"/>
              </w:rPr>
              <w:t>Dat</w:t>
            </w:r>
            <w:r w:rsidRPr="00975B07" w:rsidR="005C35A5">
              <w:rPr>
                <w:rStyle w:val="Firstpagetablebold"/>
              </w:rPr>
              <w:t>e:</w:t>
            </w:r>
          </w:p>
        </w:tc>
        <w:tc>
          <w:tcPr>
            <w:tcW w:w="6406" w:type="dxa"/>
            <w:shd w:val="clear" w:color="auto" w:fill="auto"/>
          </w:tcPr>
          <w:p w:rsidRPr="009E30E2" w:rsidR="00F445B1" w:rsidP="62B73EE3" w:rsidRDefault="00EB5E23" w14:paraId="4F4A4C58" w14:textId="63930EA6">
            <w:pPr>
              <w:rPr>
                <w:b/>
                <w:bCs/>
                <w:color w:val="auto"/>
              </w:rPr>
            </w:pPr>
            <w:r>
              <w:rPr>
                <w:rStyle w:val="Firstpagetablebold"/>
                <w:rFonts w:cs="Arial"/>
                <w:b w:val="0"/>
                <w:color w:val="auto"/>
              </w:rPr>
              <w:t>14 July 2025</w:t>
            </w:r>
          </w:p>
        </w:tc>
      </w:tr>
      <w:tr w:rsidRPr="00975B07" w:rsidR="00CE544A" w:rsidTr="62B73EE3" w14:paraId="7AED9E48" w14:textId="77777777">
        <w:tc>
          <w:tcPr>
            <w:tcW w:w="2438" w:type="dxa"/>
            <w:shd w:val="clear" w:color="auto" w:fill="auto"/>
          </w:tcPr>
          <w:p w:rsidRPr="00975B07" w:rsidR="00F445B1" w:rsidP="004A6D2F" w:rsidRDefault="00F445B1" w14:paraId="2049294C" w14:textId="77777777">
            <w:pPr>
              <w:rPr>
                <w:rStyle w:val="Firstpagetablebold"/>
              </w:rPr>
            </w:pPr>
            <w:r w:rsidRPr="00975B07">
              <w:rPr>
                <w:rStyle w:val="Firstpagetablebold"/>
              </w:rPr>
              <w:t>Report of</w:t>
            </w:r>
            <w:r w:rsidRPr="00975B07" w:rsidR="005C35A5">
              <w:rPr>
                <w:rStyle w:val="Firstpagetablebold"/>
              </w:rPr>
              <w:t>:</w:t>
            </w:r>
          </w:p>
        </w:tc>
        <w:tc>
          <w:tcPr>
            <w:tcW w:w="6406" w:type="dxa"/>
            <w:shd w:val="clear" w:color="auto" w:fill="auto"/>
          </w:tcPr>
          <w:p w:rsidRPr="009E30E2" w:rsidR="00F445B1" w:rsidP="004A6D2F" w:rsidRDefault="00EB5E23" w14:paraId="31C202AE" w14:textId="57963927">
            <w:pPr>
              <w:rPr>
                <w:rStyle w:val="Firstpagetablebold"/>
                <w:color w:val="auto"/>
              </w:rPr>
            </w:pPr>
            <w:r>
              <w:rPr>
                <w:rStyle w:val="Firstpagetablebold"/>
                <w:rFonts w:cs="Arial"/>
                <w:b w:val="0"/>
                <w:color w:val="auto"/>
              </w:rPr>
              <w:t>Director of Law, Governance and Strategy (Monitoring Officer)</w:t>
            </w:r>
          </w:p>
        </w:tc>
      </w:tr>
      <w:tr w:rsidRPr="00975B07" w:rsidR="00CE544A" w:rsidTr="62B73EE3" w14:paraId="312CDF01" w14:textId="77777777">
        <w:tc>
          <w:tcPr>
            <w:tcW w:w="2438" w:type="dxa"/>
            <w:shd w:val="clear" w:color="auto" w:fill="auto"/>
          </w:tcPr>
          <w:p w:rsidRPr="00975B07" w:rsidR="00F445B1" w:rsidP="004A6D2F" w:rsidRDefault="00F445B1" w14:paraId="08DE1E88" w14:textId="77777777">
            <w:pPr>
              <w:rPr>
                <w:rStyle w:val="Firstpagetablebold"/>
              </w:rPr>
            </w:pPr>
            <w:r w:rsidRPr="00975B07">
              <w:rPr>
                <w:rStyle w:val="Firstpagetablebold"/>
              </w:rPr>
              <w:t xml:space="preserve">Title of Report: </w:t>
            </w:r>
          </w:p>
        </w:tc>
        <w:tc>
          <w:tcPr>
            <w:tcW w:w="6406" w:type="dxa"/>
            <w:shd w:val="clear" w:color="auto" w:fill="auto"/>
          </w:tcPr>
          <w:p w:rsidRPr="009E30E2" w:rsidR="00F445B1" w:rsidP="004A6D2F" w:rsidRDefault="006D781F" w14:paraId="4C45E9F3" w14:textId="460B7B9D">
            <w:pPr>
              <w:rPr>
                <w:rStyle w:val="Firstpagetablebold"/>
                <w:color w:val="auto"/>
              </w:rPr>
            </w:pPr>
            <w:r>
              <w:rPr>
                <w:rStyle w:val="Firstpagetablebold"/>
                <w:rFonts w:cs="Arial"/>
                <w:b w:val="0"/>
                <w:color w:val="auto"/>
              </w:rPr>
              <w:t>Urgent Key Decisions Since March 2025</w:t>
            </w:r>
          </w:p>
        </w:tc>
      </w:tr>
    </w:tbl>
    <w:p w:rsidR="004F20EF" w:rsidP="004A6D2F" w:rsidRDefault="004F20EF" w14:paraId="2173E708"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2438"/>
        <w:gridCol w:w="6407"/>
      </w:tblGrid>
      <w:tr w:rsidR="00D5547E" w:rsidTr="0080749A" w14:paraId="30A8EDD0" w14:textId="77777777">
        <w:tc>
          <w:tcPr>
            <w:tcW w:w="8845" w:type="dxa"/>
            <w:gridSpan w:val="2"/>
            <w:tcBorders>
              <w:bottom w:val="single" w:color="000000" w:sz="8" w:space="0"/>
            </w:tcBorders>
            <w:hideMark/>
          </w:tcPr>
          <w:p w:rsidR="00D5547E" w:rsidP="00745BF0" w:rsidRDefault="00745BF0" w14:paraId="7672E430" w14:textId="77777777">
            <w:pPr>
              <w:jc w:val="center"/>
              <w:rPr>
                <w:rStyle w:val="Firstpagetablebold"/>
              </w:rPr>
            </w:pPr>
            <w:r>
              <w:rPr>
                <w:rStyle w:val="Firstpagetablebold"/>
              </w:rPr>
              <w:t>Summary and r</w:t>
            </w:r>
            <w:r w:rsidR="00D5547E">
              <w:rPr>
                <w:rStyle w:val="Firstpagetablebold"/>
              </w:rPr>
              <w:t>ecommendations</w:t>
            </w:r>
          </w:p>
        </w:tc>
      </w:tr>
      <w:tr w:rsidR="00D5547E" w:rsidTr="0080749A" w14:paraId="01894138" w14:textId="77777777">
        <w:tc>
          <w:tcPr>
            <w:tcW w:w="2438" w:type="dxa"/>
            <w:tcBorders>
              <w:top w:val="single" w:color="000000" w:sz="8" w:space="0"/>
              <w:left w:val="single" w:color="000000" w:sz="8" w:space="0"/>
              <w:bottom w:val="nil"/>
              <w:right w:val="nil"/>
            </w:tcBorders>
            <w:hideMark/>
          </w:tcPr>
          <w:p w:rsidR="00D5547E" w:rsidRDefault="00025250" w14:paraId="5BB81F73" w14:textId="120319E8">
            <w:pPr>
              <w:rPr>
                <w:rStyle w:val="Firstpagetablebold"/>
              </w:rPr>
            </w:pPr>
            <w:r>
              <w:rPr>
                <w:rStyle w:val="Firstpagetablebold"/>
              </w:rPr>
              <w:t>Decision being taken</w:t>
            </w:r>
            <w:r w:rsidR="00D5547E">
              <w:rPr>
                <w:rStyle w:val="Firstpagetablebold"/>
              </w:rPr>
              <w:t>:</w:t>
            </w:r>
          </w:p>
        </w:tc>
        <w:tc>
          <w:tcPr>
            <w:tcW w:w="6407" w:type="dxa"/>
            <w:tcBorders>
              <w:top w:val="single" w:color="000000" w:sz="8" w:space="0"/>
              <w:left w:val="nil"/>
              <w:bottom w:val="nil"/>
              <w:right w:val="single" w:color="000000" w:sz="8" w:space="0"/>
            </w:tcBorders>
            <w:hideMark/>
          </w:tcPr>
          <w:p w:rsidRPr="009E30E2" w:rsidR="00D5547E" w:rsidP="00DB7AD7" w:rsidRDefault="00DC300F" w14:paraId="419B6548" w14:textId="0287E3AE">
            <w:pPr>
              <w:rPr>
                <w:color w:val="auto"/>
              </w:rPr>
            </w:pPr>
            <w:r w:rsidRPr="00DC300F">
              <w:rPr>
                <w:color w:val="auto"/>
              </w:rPr>
              <w:t>To update Council on key decisions taken in cases of special urgency since 2</w:t>
            </w:r>
            <w:r>
              <w:rPr>
                <w:color w:val="auto"/>
              </w:rPr>
              <w:t>4 March</w:t>
            </w:r>
            <w:r w:rsidRPr="00DC300F">
              <w:rPr>
                <w:color w:val="auto"/>
              </w:rPr>
              <w:t xml:space="preserve"> 202</w:t>
            </w:r>
            <w:r>
              <w:rPr>
                <w:color w:val="auto"/>
              </w:rPr>
              <w:t>5</w:t>
            </w:r>
            <w:r w:rsidRPr="00DC300F">
              <w:rPr>
                <w:color w:val="auto"/>
              </w:rPr>
              <w:t>.</w:t>
            </w:r>
          </w:p>
        </w:tc>
      </w:tr>
      <w:tr w:rsidR="00025250" w:rsidTr="0080749A" w14:paraId="43BD728D" w14:textId="77777777">
        <w:tc>
          <w:tcPr>
            <w:tcW w:w="2438" w:type="dxa"/>
            <w:tcBorders>
              <w:top w:val="nil"/>
              <w:left w:val="single" w:color="000000" w:sz="8" w:space="0"/>
              <w:bottom w:val="nil"/>
              <w:right w:val="nil"/>
            </w:tcBorders>
            <w:hideMark/>
          </w:tcPr>
          <w:p w:rsidR="00025250" w:rsidP="00025250" w:rsidRDefault="00025250" w14:paraId="0997AE74" w14:textId="77777777">
            <w:pPr>
              <w:rPr>
                <w:rStyle w:val="Firstpagetablebold"/>
              </w:rPr>
            </w:pPr>
            <w:r>
              <w:rPr>
                <w:rStyle w:val="Firstpagetablebold"/>
              </w:rPr>
              <w:t>Key decision:</w:t>
            </w:r>
          </w:p>
        </w:tc>
        <w:tc>
          <w:tcPr>
            <w:tcW w:w="6407" w:type="dxa"/>
            <w:tcBorders>
              <w:top w:val="nil"/>
              <w:left w:val="nil"/>
              <w:bottom w:val="nil"/>
              <w:right w:val="single" w:color="000000" w:sz="8" w:space="0"/>
            </w:tcBorders>
            <w:hideMark/>
          </w:tcPr>
          <w:p w:rsidRPr="009E30E2" w:rsidR="00025250" w:rsidP="00025250" w:rsidRDefault="00DC300F" w14:paraId="1B0C58F5" w14:textId="03529109">
            <w:pPr>
              <w:rPr>
                <w:color w:val="auto"/>
              </w:rPr>
            </w:pPr>
            <w:r>
              <w:rPr>
                <w:rFonts w:cs="Arial"/>
                <w:color w:val="auto"/>
              </w:rPr>
              <w:t>No</w:t>
            </w:r>
            <w:r w:rsidRPr="009E30E2" w:rsidR="00025250">
              <w:rPr>
                <w:rFonts w:cs="Arial"/>
                <w:color w:val="auto"/>
              </w:rPr>
              <w:t xml:space="preserve"> </w:t>
            </w:r>
          </w:p>
        </w:tc>
      </w:tr>
      <w:tr w:rsidR="00025250" w:rsidTr="0080749A" w14:paraId="10A3E36F" w14:textId="77777777">
        <w:tc>
          <w:tcPr>
            <w:tcW w:w="2438" w:type="dxa"/>
            <w:tcBorders>
              <w:top w:val="nil"/>
              <w:left w:val="single" w:color="000000" w:sz="8" w:space="0"/>
              <w:bottom w:val="nil"/>
              <w:right w:val="nil"/>
            </w:tcBorders>
            <w:hideMark/>
          </w:tcPr>
          <w:p w:rsidR="00025250" w:rsidP="00025250" w:rsidRDefault="00025250" w14:paraId="55E06E9D" w14:textId="77777777">
            <w:pPr>
              <w:rPr>
                <w:rStyle w:val="Firstpagetablebold"/>
              </w:rPr>
            </w:pPr>
            <w:r>
              <w:rPr>
                <w:rStyle w:val="Firstpagetablebold"/>
              </w:rPr>
              <w:t>Cabinet Member:</w:t>
            </w:r>
          </w:p>
        </w:tc>
        <w:tc>
          <w:tcPr>
            <w:tcW w:w="6407" w:type="dxa"/>
            <w:tcBorders>
              <w:top w:val="nil"/>
              <w:left w:val="nil"/>
              <w:bottom w:val="nil"/>
              <w:right w:val="single" w:color="000000" w:sz="8" w:space="0"/>
            </w:tcBorders>
            <w:hideMark/>
          </w:tcPr>
          <w:p w:rsidRPr="009E30E2" w:rsidR="00025250" w:rsidP="00025250" w:rsidRDefault="00025250" w14:paraId="1E006809" w14:textId="227B8661">
            <w:pPr>
              <w:rPr>
                <w:color w:val="auto"/>
              </w:rPr>
            </w:pPr>
            <w:r w:rsidRPr="009E30E2">
              <w:rPr>
                <w:color w:val="auto"/>
              </w:rPr>
              <w:t xml:space="preserve">Councillor </w:t>
            </w:r>
            <w:r w:rsidR="00DC300F">
              <w:rPr>
                <w:color w:val="auto"/>
              </w:rPr>
              <w:t>Susan Brown, Leader and Cabinet Member for Partnership Working</w:t>
            </w:r>
            <w:r w:rsidRPr="00B7634F" w:rsidR="00B7634F">
              <w:rPr>
                <w:color w:val="auto"/>
              </w:rPr>
              <w:t xml:space="preserve"> and Inclusive Economic Growth</w:t>
            </w:r>
          </w:p>
        </w:tc>
      </w:tr>
      <w:tr w:rsidR="00025250" w:rsidTr="0097170F" w14:paraId="7B700325" w14:textId="77777777">
        <w:tc>
          <w:tcPr>
            <w:tcW w:w="2438" w:type="dxa"/>
            <w:tcBorders>
              <w:top w:val="nil"/>
              <w:left w:val="single" w:color="000000" w:sz="8" w:space="0"/>
              <w:bottom w:val="nil"/>
              <w:right w:val="nil"/>
            </w:tcBorders>
          </w:tcPr>
          <w:p w:rsidR="00025250" w:rsidP="00025250" w:rsidRDefault="00025250" w14:paraId="7A58DBB5" w14:textId="77777777">
            <w:pPr>
              <w:rPr>
                <w:rStyle w:val="Firstpagetablebold"/>
              </w:rPr>
            </w:pPr>
            <w:r>
              <w:rPr>
                <w:rStyle w:val="Firstpagetablebold"/>
              </w:rPr>
              <w:t>Corporate Priority:</w:t>
            </w:r>
          </w:p>
        </w:tc>
        <w:tc>
          <w:tcPr>
            <w:tcW w:w="6407" w:type="dxa"/>
            <w:tcBorders>
              <w:top w:val="nil"/>
              <w:left w:val="nil"/>
              <w:bottom w:val="nil"/>
              <w:right w:val="single" w:color="000000" w:sz="8" w:space="0"/>
            </w:tcBorders>
          </w:tcPr>
          <w:p w:rsidRPr="009E30E2" w:rsidR="00025250" w:rsidP="00025250" w:rsidRDefault="00DC300F" w14:paraId="3DF1AC69" w14:textId="65E191A2">
            <w:pPr>
              <w:rPr>
                <w:color w:val="auto"/>
              </w:rPr>
            </w:pPr>
            <w:r>
              <w:rPr>
                <w:color w:val="auto"/>
              </w:rPr>
              <w:t>A Well Run Council</w:t>
            </w:r>
            <w:r w:rsidRPr="009E30E2" w:rsidR="00025250">
              <w:rPr>
                <w:color w:val="auto"/>
              </w:rPr>
              <w:t>.</w:t>
            </w:r>
          </w:p>
        </w:tc>
      </w:tr>
      <w:tr w:rsidR="00025250" w:rsidTr="0097170F" w14:paraId="63186D5F" w14:textId="77777777">
        <w:tc>
          <w:tcPr>
            <w:tcW w:w="2438" w:type="dxa"/>
            <w:tcBorders>
              <w:top w:val="nil"/>
              <w:left w:val="single" w:color="000000" w:sz="8" w:space="0"/>
              <w:bottom w:val="single" w:color="auto" w:sz="4" w:space="0"/>
              <w:right w:val="nil"/>
            </w:tcBorders>
            <w:hideMark/>
          </w:tcPr>
          <w:p w:rsidR="00025250" w:rsidP="00025250" w:rsidRDefault="00025250" w14:paraId="13359BD4" w14:textId="77777777">
            <w:pPr>
              <w:rPr>
                <w:rStyle w:val="Firstpagetablebold"/>
              </w:rPr>
            </w:pPr>
            <w:r>
              <w:rPr>
                <w:rStyle w:val="Firstpagetablebold"/>
              </w:rPr>
              <w:t>Policy Framework:</w:t>
            </w:r>
          </w:p>
        </w:tc>
        <w:tc>
          <w:tcPr>
            <w:tcW w:w="6407" w:type="dxa"/>
            <w:tcBorders>
              <w:top w:val="nil"/>
              <w:left w:val="nil"/>
              <w:bottom w:val="single" w:color="auto" w:sz="4" w:space="0"/>
              <w:right w:val="single" w:color="000000" w:sz="8" w:space="0"/>
            </w:tcBorders>
            <w:hideMark/>
          </w:tcPr>
          <w:p w:rsidRPr="009E30E2" w:rsidR="00025250" w:rsidP="00025250" w:rsidRDefault="00DC300F" w14:paraId="0AA7D163" w14:textId="0CF6770E">
            <w:pPr>
              <w:rPr>
                <w:color w:val="auto"/>
              </w:rPr>
            </w:pPr>
            <w:r>
              <w:rPr>
                <w:color w:val="auto"/>
              </w:rPr>
              <w:t>None.</w:t>
            </w:r>
          </w:p>
        </w:tc>
      </w:tr>
    </w:tbl>
    <w:p w:rsidR="00CE544A" w:rsidP="004A6D2F" w:rsidRDefault="00CE544A" w14:paraId="3B28CE5F" w14:textId="77777777"/>
    <w:tbl>
      <w:tblPr>
        <w:tblW w:w="0" w:type="auto"/>
        <w:tblInd w:w="108"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ook w:val="04A0" w:firstRow="1" w:lastRow="0" w:firstColumn="1" w:lastColumn="0" w:noHBand="0" w:noVBand="1"/>
      </w:tblPr>
      <w:tblGrid>
        <w:gridCol w:w="426"/>
        <w:gridCol w:w="8419"/>
      </w:tblGrid>
      <w:tr w:rsidRPr="00975B07" w:rsidR="00025250" w:rsidTr="62B73EE3" w14:paraId="75BF65A5" w14:textId="77777777">
        <w:trPr>
          <w:trHeight w:val="413"/>
        </w:trPr>
        <w:tc>
          <w:tcPr>
            <w:tcW w:w="8845" w:type="dxa"/>
            <w:gridSpan w:val="2"/>
            <w:tcBorders>
              <w:bottom w:val="single" w:color="000000" w:themeColor="text1" w:sz="8" w:space="0"/>
            </w:tcBorders>
          </w:tcPr>
          <w:p w:rsidRPr="00975B07" w:rsidR="00025250" w:rsidRDefault="00025250" w14:paraId="18FB24CC" w14:textId="63D6B755">
            <w:r w:rsidRPr="62B73EE3">
              <w:rPr>
                <w:rStyle w:val="Firstpagetablebold"/>
              </w:rPr>
              <w:t>Recommendation(s):</w:t>
            </w:r>
            <w:r w:rsidRPr="62B73EE3" w:rsidR="571C62E4">
              <w:rPr>
                <w:rStyle w:val="Firstpagetablebold"/>
              </w:rPr>
              <w:t xml:space="preserve"> </w:t>
            </w:r>
            <w:r w:rsidRPr="62B73EE3">
              <w:rPr>
                <w:rStyle w:val="Firstpagetablebold"/>
                <w:b w:val="0"/>
              </w:rPr>
              <w:t xml:space="preserve">That </w:t>
            </w:r>
            <w:r w:rsidRPr="00DC300F">
              <w:rPr>
                <w:rStyle w:val="Firstpagetablebold"/>
                <w:b w:val="0"/>
              </w:rPr>
              <w:t>C</w:t>
            </w:r>
            <w:r w:rsidRPr="00DC300F" w:rsidR="00DC300F">
              <w:rPr>
                <w:rStyle w:val="Firstpagetablebold"/>
                <w:b w:val="0"/>
              </w:rPr>
              <w:t>ouncil</w:t>
            </w:r>
            <w:r w:rsidRPr="62B73EE3">
              <w:rPr>
                <w:rStyle w:val="Firstpagetablebold"/>
                <w:b w:val="0"/>
              </w:rPr>
              <w:t xml:space="preserve"> resolves to:</w:t>
            </w:r>
          </w:p>
        </w:tc>
      </w:tr>
      <w:tr w:rsidRPr="00975B07" w:rsidR="00025250" w:rsidTr="62B73EE3" w14:paraId="2BFBBF69" w14:textId="77777777">
        <w:trPr>
          <w:trHeight w:val="283"/>
        </w:trPr>
        <w:tc>
          <w:tcPr>
            <w:tcW w:w="426" w:type="dxa"/>
            <w:tcBorders>
              <w:top w:val="nil"/>
              <w:left w:val="single" w:color="000000" w:themeColor="text1" w:sz="8" w:space="0"/>
              <w:bottom w:val="single" w:color="000000" w:themeColor="text1" w:sz="8" w:space="0"/>
              <w:right w:val="nil"/>
            </w:tcBorders>
          </w:tcPr>
          <w:p w:rsidRPr="00975B07" w:rsidR="00025250" w:rsidRDefault="00E63673" w14:paraId="328750F8" w14:textId="3A158876">
            <w:r>
              <w:t>1</w:t>
            </w:r>
            <w:r w:rsidRPr="00975B07" w:rsidR="00025250">
              <w:t>.</w:t>
            </w:r>
          </w:p>
        </w:tc>
        <w:tc>
          <w:tcPr>
            <w:tcW w:w="8419" w:type="dxa"/>
            <w:tcBorders>
              <w:top w:val="nil"/>
              <w:left w:val="nil"/>
              <w:bottom w:val="single" w:color="000000" w:themeColor="text1" w:sz="8" w:space="0"/>
              <w:right w:val="single" w:color="000000" w:themeColor="text1" w:sz="8" w:space="0"/>
            </w:tcBorders>
            <w:shd w:val="clear" w:color="auto" w:fill="auto"/>
          </w:tcPr>
          <w:p w:rsidRPr="001356F1" w:rsidR="00025250" w:rsidRDefault="00E63673" w14:paraId="0C3A19C8" w14:textId="4B207ED1">
            <w:r>
              <w:rPr>
                <w:rStyle w:val="Firstpagetablebold"/>
              </w:rPr>
              <w:t>Note</w:t>
            </w:r>
            <w:r>
              <w:rPr>
                <w:rStyle w:val="Firstpagetablebold"/>
                <w:b w:val="0"/>
                <w:bCs/>
              </w:rPr>
              <w:t xml:space="preserve"> the urgent key decisions taken in cases of special urgency </w:t>
            </w:r>
            <w:r w:rsidR="00AD6C5D">
              <w:rPr>
                <w:rStyle w:val="Firstpagetablebold"/>
                <w:b w:val="0"/>
                <w:bCs/>
              </w:rPr>
              <w:t xml:space="preserve">as </w:t>
            </w:r>
            <w:r w:rsidRPr="5F46D787" w:rsidR="00AD6C5D">
              <w:rPr>
                <w:rStyle w:val="Firstpagetablebold"/>
                <w:b w:val="0"/>
              </w:rPr>
              <w:t>se</w:t>
            </w:r>
            <w:r w:rsidRPr="5F46D787" w:rsidR="422C1BED">
              <w:rPr>
                <w:rStyle w:val="Firstpagetablebold"/>
                <w:b w:val="0"/>
              </w:rPr>
              <w:t>t</w:t>
            </w:r>
            <w:r w:rsidR="00AD6C5D">
              <w:rPr>
                <w:rStyle w:val="Firstpagetablebold"/>
                <w:b w:val="0"/>
                <w:bCs/>
              </w:rPr>
              <w:t xml:space="preserve"> out in the report</w:t>
            </w:r>
            <w:r w:rsidRPr="001356F1" w:rsidR="00025250">
              <w:t>.</w:t>
            </w:r>
          </w:p>
        </w:tc>
      </w:tr>
    </w:tbl>
    <w:p w:rsidR="00025250" w:rsidP="004A6D2F" w:rsidRDefault="00025250" w14:paraId="7D5A6705"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2438"/>
        <w:gridCol w:w="6407"/>
      </w:tblGrid>
      <w:tr w:rsidRPr="003E4C33" w:rsidR="00DB345C" w14:paraId="7C35773E" w14:textId="77777777">
        <w:trPr>
          <w:trHeight w:val="300"/>
        </w:trPr>
        <w:tc>
          <w:tcPr>
            <w:tcW w:w="8845" w:type="dxa"/>
            <w:gridSpan w:val="2"/>
            <w:tcBorders>
              <w:bottom w:val="single" w:color="000000" w:themeColor="text1" w:sz="8" w:space="0"/>
            </w:tcBorders>
            <w:hideMark/>
          </w:tcPr>
          <w:p w:rsidRPr="003E4C33" w:rsidR="00DB345C" w:rsidRDefault="00DB345C" w14:paraId="5E6C4F92" w14:textId="77777777">
            <w:pPr>
              <w:jc w:val="center"/>
              <w:rPr>
                <w:rStyle w:val="Firstpagetablebold"/>
                <w:rFonts w:cs="Arial"/>
              </w:rPr>
            </w:pPr>
            <w:r w:rsidRPr="266410C0">
              <w:rPr>
                <w:rStyle w:val="Firstpagetablebold"/>
                <w:rFonts w:cs="Arial"/>
              </w:rPr>
              <w:t xml:space="preserve">Information Exempt From Publication </w:t>
            </w:r>
          </w:p>
        </w:tc>
      </w:tr>
      <w:tr w:rsidRPr="003E4C33" w:rsidR="00DB345C" w14:paraId="39C93236"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2438" w:type="dxa"/>
            <w:tcBorders>
              <w:top w:val="nil"/>
              <w:left w:val="single" w:color="000000" w:themeColor="text1" w:sz="8" w:space="0"/>
              <w:bottom w:val="single" w:color="000000" w:themeColor="text1" w:sz="8" w:space="0"/>
              <w:right w:val="single" w:color="auto" w:sz="4" w:space="0"/>
            </w:tcBorders>
          </w:tcPr>
          <w:p w:rsidRPr="009E30E2" w:rsidR="00DB345C" w:rsidRDefault="00DB345C" w14:paraId="2A2C723F" w14:textId="77777777">
            <w:pPr>
              <w:rPr>
                <w:rStyle w:val="Firstpagetablebold"/>
                <w:rFonts w:cs="Arial"/>
              </w:rPr>
            </w:pPr>
            <w:r>
              <w:rPr>
                <w:rStyle w:val="Firstpagetablebold"/>
                <w:rFonts w:cs="Arial"/>
                <w:color w:val="auto"/>
              </w:rPr>
              <w:t>N/A</w:t>
            </w:r>
          </w:p>
        </w:tc>
        <w:tc>
          <w:tcPr>
            <w:tcW w:w="6407" w:type="dxa"/>
            <w:tcBorders>
              <w:top w:val="nil"/>
              <w:left w:val="single" w:color="auto" w:sz="4" w:space="0"/>
              <w:bottom w:val="single" w:color="000000" w:themeColor="text1" w:sz="8" w:space="0"/>
              <w:right w:val="single" w:color="000000" w:themeColor="text1" w:sz="8" w:space="0"/>
            </w:tcBorders>
          </w:tcPr>
          <w:p w:rsidRPr="00C21EB4" w:rsidR="00DB345C" w:rsidRDefault="00DB345C" w14:paraId="0627A3F2" w14:textId="77777777">
            <w:pPr>
              <w:ind w:left="360" w:hanging="360"/>
              <w:rPr>
                <w:rFonts w:cs="Arial"/>
              </w:rPr>
            </w:pPr>
            <w:r w:rsidRPr="00C21EB4">
              <w:rPr>
                <w:rFonts w:cs="Arial"/>
              </w:rPr>
              <w:t>N/A</w:t>
            </w:r>
          </w:p>
        </w:tc>
      </w:tr>
    </w:tbl>
    <w:p w:rsidR="00025250" w:rsidP="004A6D2F" w:rsidRDefault="00025250" w14:paraId="3E3DC543" w14:textId="77777777"/>
    <w:tbl>
      <w:tblPr>
        <w:tblW w:w="0" w:type="auto"/>
        <w:tblInd w:w="108" w:type="dxa"/>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1912"/>
        <w:gridCol w:w="2803"/>
        <w:gridCol w:w="4455"/>
      </w:tblGrid>
      <w:tr w:rsidRPr="003E4C33" w:rsidR="002312EA" w:rsidTr="1D538C83" w14:paraId="469C2CEE" w14:textId="77777777">
        <w:trPr>
          <w:trHeight w:val="300"/>
        </w:trPr>
        <w:tc>
          <w:tcPr>
            <w:tcW w:w="1912" w:type="dxa"/>
            <w:tcBorders>
              <w:bottom w:val="single" w:color="auto" w:sz="4" w:space="0"/>
            </w:tcBorders>
          </w:tcPr>
          <w:p w:rsidRPr="003E4C33" w:rsidR="002312EA" w:rsidRDefault="002312EA" w14:paraId="06B4268A" w14:textId="77777777">
            <w:pPr>
              <w:jc w:val="center"/>
              <w:rPr>
                <w:rStyle w:val="Firstpagetablebold"/>
                <w:rFonts w:cs="Arial"/>
              </w:rPr>
            </w:pPr>
            <w:r>
              <w:rPr>
                <w:rStyle w:val="Firstpagetablebold"/>
                <w:rFonts w:cs="Arial"/>
              </w:rPr>
              <w:t>A</w:t>
            </w:r>
            <w:r>
              <w:rPr>
                <w:rStyle w:val="Firstpagetablebold"/>
              </w:rPr>
              <w:t>ppendix No.</w:t>
            </w:r>
          </w:p>
        </w:tc>
        <w:tc>
          <w:tcPr>
            <w:tcW w:w="2803" w:type="dxa"/>
            <w:tcBorders>
              <w:bottom w:val="single" w:color="auto" w:sz="4" w:space="0"/>
            </w:tcBorders>
          </w:tcPr>
          <w:p w:rsidRPr="003E4C33" w:rsidR="002312EA" w:rsidRDefault="002312EA" w14:paraId="48373E4B" w14:textId="77777777">
            <w:pPr>
              <w:jc w:val="center"/>
              <w:rPr>
                <w:rStyle w:val="Firstpagetablebold"/>
                <w:rFonts w:cs="Arial"/>
              </w:rPr>
            </w:pPr>
            <w:r>
              <w:rPr>
                <w:rStyle w:val="Firstpagetablebold"/>
                <w:rFonts w:cs="Arial"/>
              </w:rPr>
              <w:t xml:space="preserve">Appendix Title </w:t>
            </w:r>
          </w:p>
        </w:tc>
        <w:tc>
          <w:tcPr>
            <w:tcW w:w="4455" w:type="dxa"/>
            <w:tcBorders>
              <w:bottom w:val="single" w:color="auto" w:sz="4" w:space="0"/>
            </w:tcBorders>
          </w:tcPr>
          <w:p w:rsidRPr="003E4C33" w:rsidR="002312EA" w:rsidRDefault="002312EA" w14:paraId="0A5DAC00" w14:textId="77777777">
            <w:pPr>
              <w:jc w:val="center"/>
              <w:rPr>
                <w:rStyle w:val="Firstpagetablebold"/>
                <w:rFonts w:cs="Arial"/>
              </w:rPr>
            </w:pPr>
            <w:r>
              <w:rPr>
                <w:rStyle w:val="Firstpagetablebold"/>
                <w:rFonts w:cs="Arial"/>
              </w:rPr>
              <w:t>Exempt from Publication</w:t>
            </w:r>
          </w:p>
        </w:tc>
      </w:tr>
      <w:tr w:rsidRPr="003E4C33" w:rsidR="002312EA" w:rsidTr="1D538C83" w14:paraId="43C48BEB" w14:textId="7777777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00"/>
        </w:trPr>
        <w:tc>
          <w:tcPr>
            <w:tcW w:w="1912" w:type="dxa"/>
            <w:tcBorders>
              <w:top w:val="single" w:color="auto" w:sz="4" w:space="0"/>
              <w:left w:val="single" w:color="auto" w:sz="4" w:space="0"/>
              <w:bottom w:val="single" w:color="auto" w:sz="4" w:space="0"/>
              <w:right w:val="single" w:color="auto" w:sz="4" w:space="0"/>
            </w:tcBorders>
          </w:tcPr>
          <w:p w:rsidRPr="009E30E2" w:rsidR="002312EA" w:rsidRDefault="00AD6C5D" w14:paraId="70747163" w14:textId="591CA63A">
            <w:pPr>
              <w:rPr>
                <w:rStyle w:val="Firstpagetablebold"/>
                <w:rFonts w:cs="Arial"/>
                <w:color w:val="auto"/>
              </w:rPr>
            </w:pPr>
            <w:r>
              <w:rPr>
                <w:rStyle w:val="Firstpagetablebold"/>
                <w:rFonts w:cs="Arial"/>
                <w:color w:val="auto"/>
              </w:rPr>
              <w:t>N/A</w:t>
            </w:r>
          </w:p>
        </w:tc>
        <w:tc>
          <w:tcPr>
            <w:tcW w:w="2803" w:type="dxa"/>
            <w:tcBorders>
              <w:top w:val="single" w:color="auto" w:sz="4" w:space="0"/>
              <w:left w:val="single" w:color="auto" w:sz="4" w:space="0"/>
              <w:bottom w:val="single" w:color="auto" w:sz="4" w:space="0"/>
              <w:right w:val="single" w:color="auto" w:sz="4" w:space="0"/>
            </w:tcBorders>
          </w:tcPr>
          <w:p w:rsidRPr="009E30E2" w:rsidR="002312EA" w:rsidRDefault="00AD6C5D" w14:paraId="3E2ED561" w14:textId="037F4284">
            <w:pPr>
              <w:rPr>
                <w:rFonts w:cs="Arial"/>
                <w:color w:val="auto"/>
              </w:rPr>
            </w:pPr>
            <w:r>
              <w:rPr>
                <w:rFonts w:cs="Arial"/>
                <w:color w:val="auto"/>
              </w:rPr>
              <w:t>N/A</w:t>
            </w:r>
          </w:p>
        </w:tc>
        <w:tc>
          <w:tcPr>
            <w:tcW w:w="4455" w:type="dxa"/>
            <w:tcBorders>
              <w:top w:val="single" w:color="auto" w:sz="4" w:space="0"/>
              <w:left w:val="single" w:color="auto" w:sz="4" w:space="0"/>
              <w:bottom w:val="single" w:color="auto" w:sz="4" w:space="0"/>
              <w:right w:val="single" w:color="auto" w:sz="4" w:space="0"/>
            </w:tcBorders>
          </w:tcPr>
          <w:p w:rsidRPr="00AD6C5D" w:rsidR="002312EA" w:rsidP="00AD6C5D" w:rsidRDefault="00AD6C5D" w14:paraId="349B4576" w14:textId="7B3DFDDC">
            <w:pPr>
              <w:ind w:left="360" w:hanging="360"/>
              <w:rPr>
                <w:rFonts w:cs="Arial"/>
                <w:color w:val="auto"/>
              </w:rPr>
            </w:pPr>
            <w:r>
              <w:rPr>
                <w:rFonts w:cs="Arial"/>
                <w:color w:val="auto"/>
              </w:rPr>
              <w:t>N/A</w:t>
            </w:r>
          </w:p>
        </w:tc>
      </w:tr>
    </w:tbl>
    <w:p w:rsidRPr="001356F1" w:rsidR="0040736F" w:rsidP="004A6D2F" w:rsidRDefault="00F66DCA" w14:paraId="50E21B3B" w14:textId="77777777">
      <w:pPr>
        <w:pStyle w:val="Heading1"/>
      </w:pPr>
      <w:r w:rsidRPr="001356F1">
        <w:t>Introduction and b</w:t>
      </w:r>
      <w:r w:rsidRPr="001356F1" w:rsidR="00151888">
        <w:t>ackground</w:t>
      </w:r>
      <w:r w:rsidRPr="001356F1" w:rsidR="00404032">
        <w:t xml:space="preserve"> </w:t>
      </w:r>
    </w:p>
    <w:p w:rsidRPr="00F71D37" w:rsidR="00F71D37" w:rsidP="00F71D37" w:rsidRDefault="00E166F4" w14:paraId="68AC9ED6" w14:textId="2ED76328">
      <w:pPr>
        <w:pStyle w:val="ListParagraph"/>
        <w:numPr>
          <w:ilvl w:val="0"/>
          <w:numId w:val="37"/>
        </w:numPr>
        <w:rPr>
          <w:rFonts w:cs="Arial"/>
          <w:b/>
          <w:i/>
        </w:rPr>
      </w:pPr>
      <w:r>
        <w:t>The Leader of the Council is required by regulations to report to Council at least annually on executive decisions taken under special urgency procedures. Special urgency rules apply to key decisions that have not been notified on the Forward Plan for at least 5 clear days. Such decisions can only be taken where the Chair of the Scrutiny Committee (or if there is no chair</w:t>
      </w:r>
      <w:r w:rsidR="0087268F">
        <w:t>,</w:t>
      </w:r>
      <w:r>
        <w:t xml:space="preserve"> the Lord Mayor) agrees that the making of the decision is urgent and cannot reasonably be deferred. </w:t>
      </w:r>
      <w:r w:rsidRPr="005C32A2">
        <w:t xml:space="preserve">This report updates Council on executive decisions taken </w:t>
      </w:r>
      <w:r>
        <w:t xml:space="preserve">in cases of special urgency </w:t>
      </w:r>
      <w:r w:rsidRPr="005C32A2">
        <w:t xml:space="preserve">since </w:t>
      </w:r>
      <w:r>
        <w:t>2</w:t>
      </w:r>
      <w:r w:rsidR="00FD0C3E">
        <w:t>4 March 2025</w:t>
      </w:r>
      <w:r w:rsidRPr="005C32A2">
        <w:t>.</w:t>
      </w:r>
    </w:p>
    <w:p w:rsidR="00F71D37" w:rsidP="00F71D37" w:rsidRDefault="00F71D37" w14:paraId="08CA54C4" w14:textId="77777777"/>
    <w:p w:rsidRPr="00F71D37" w:rsidR="00F71D37" w:rsidP="00F71D37" w:rsidRDefault="00F71D37" w14:paraId="198BB1AA" w14:textId="5F317E62">
      <w:pPr>
        <w:rPr>
          <w:rFonts w:cs="Arial"/>
          <w:b/>
          <w:bCs/>
          <w:i/>
        </w:rPr>
      </w:pPr>
      <w:r w:rsidRPr="00F71D37">
        <w:rPr>
          <w:b/>
          <w:bCs/>
        </w:rPr>
        <w:t>Local Government Reorganisation – Interim Response to Government</w:t>
      </w:r>
    </w:p>
    <w:p w:rsidRPr="00CD33F0" w:rsidR="00F71D37" w:rsidP="00F71D37" w:rsidRDefault="00F71D37" w14:paraId="62B984F9" w14:textId="005CC440">
      <w:pPr>
        <w:pStyle w:val="ListParagraph"/>
        <w:numPr>
          <w:ilvl w:val="0"/>
          <w:numId w:val="37"/>
        </w:numPr>
        <w:rPr>
          <w:rFonts w:cs="Arial"/>
          <w:b/>
          <w:i/>
        </w:rPr>
      </w:pPr>
      <w:r>
        <w:t xml:space="preserve">This decision, taken </w:t>
      </w:r>
      <w:r w:rsidR="00136C49">
        <w:t xml:space="preserve">by Cabinet at their meeting </w:t>
      </w:r>
      <w:r>
        <w:t xml:space="preserve">on 19 March 2025, was to submit </w:t>
      </w:r>
      <w:r w:rsidR="0053335E">
        <w:t xml:space="preserve">Oxford City Council’s response to the Government’s Local Government Reorganisation. The deadline was 20 March 2025, and had to </w:t>
      </w:r>
      <w:r w:rsidR="008C1440">
        <w:t>coincide</w:t>
      </w:r>
      <w:r w:rsidR="0053335E">
        <w:t xml:space="preserve"> with other responses from </w:t>
      </w:r>
      <w:r w:rsidR="008C1440">
        <w:t>local authorities in Oxfordshire</w:t>
      </w:r>
      <w:r w:rsidR="00CD33F0">
        <w:t>.</w:t>
      </w:r>
    </w:p>
    <w:p w:rsidRPr="00F71D37" w:rsidR="00CD33F0" w:rsidP="00F71D37" w:rsidRDefault="00CD33F0" w14:paraId="42B35826" w14:textId="5673E9DD">
      <w:pPr>
        <w:pStyle w:val="ListParagraph"/>
        <w:numPr>
          <w:ilvl w:val="0"/>
          <w:numId w:val="37"/>
        </w:numPr>
        <w:rPr>
          <w:rFonts w:cs="Arial"/>
          <w:b/>
          <w:i/>
        </w:rPr>
      </w:pPr>
      <w:r>
        <w:t xml:space="preserve">As this was a response to a consultation, the decision was not considered Key, however as per section </w:t>
      </w:r>
      <w:r w:rsidR="002720BD">
        <w:t>17.1 of the Constitution, all resolutions</w:t>
      </w:r>
      <w:r>
        <w:t xml:space="preserve"> </w:t>
      </w:r>
      <w:r w:rsidR="002F6805">
        <w:t>by Cabinet are subject to a call-in period.</w:t>
      </w:r>
    </w:p>
    <w:p w:rsidR="00F71D37" w:rsidP="0095326B" w:rsidRDefault="002720BD" w14:paraId="07EE9A71" w14:textId="5DCA9E3D">
      <w:pPr>
        <w:pStyle w:val="ListParagraph"/>
        <w:numPr>
          <w:ilvl w:val="0"/>
          <w:numId w:val="37"/>
        </w:numPr>
      </w:pPr>
      <w:r>
        <w:t>T</w:t>
      </w:r>
      <w:r w:rsidR="00F71D37">
        <w:t>he Chair of the Scrutiny Committee was consulted to remove the call-in period under section 17.9 of the Constitution</w:t>
      </w:r>
      <w:r w:rsidR="0095326B">
        <w:t>, due to the deadline to submit the response to Government</w:t>
      </w:r>
      <w:r w:rsidR="00F71D37">
        <w:t>.</w:t>
      </w:r>
    </w:p>
    <w:p w:rsidRPr="0095326B" w:rsidR="00E63919" w:rsidP="00E63919" w:rsidRDefault="00E63919" w14:paraId="60896475" w14:textId="0840BF8B">
      <w:pPr>
        <w:pStyle w:val="ListParagraph"/>
        <w:numPr>
          <w:ilvl w:val="0"/>
          <w:numId w:val="37"/>
        </w:numPr>
      </w:pPr>
      <w:r>
        <w:t xml:space="preserve">Alternative Options Considered </w:t>
      </w:r>
      <w:r w:rsidR="002F6805">
        <w:t>–</w:t>
      </w:r>
      <w:r>
        <w:t xml:space="preserve"> </w:t>
      </w:r>
      <w:r w:rsidR="002F6805">
        <w:t>to keep the call-in period, which was concluded after the d</w:t>
      </w:r>
      <w:r w:rsidR="00752A1C">
        <w:t xml:space="preserve">eadline for submission to Government. </w:t>
      </w:r>
      <w:r w:rsidRPr="00AE1112">
        <w:t xml:space="preserve">This is not considered appropriate because </w:t>
      </w:r>
      <w:r w:rsidR="00752A1C">
        <w:t xml:space="preserve">Oxford City Council wouldn’t have </w:t>
      </w:r>
      <w:r w:rsidR="00A75677">
        <w:t>submitted their proposal for a City Unitary Authority</w:t>
      </w:r>
      <w:r w:rsidRPr="00AE1112">
        <w:t>.</w:t>
      </w:r>
    </w:p>
    <w:p w:rsidRPr="002B6836" w:rsidR="00633578" w:rsidP="002B6836" w:rsidRDefault="00E75B0B" w14:paraId="352FB548" w14:textId="2A1DAA93">
      <w:pPr>
        <w:pStyle w:val="Heading1"/>
      </w:pPr>
      <w:proofErr w:type="spellStart"/>
      <w:r>
        <w:t>OxWed</w:t>
      </w:r>
      <w:proofErr w:type="spellEnd"/>
      <w:r>
        <w:t xml:space="preserve"> LLP Funding Arrangements</w:t>
      </w:r>
    </w:p>
    <w:p w:rsidR="00185AF7" w:rsidP="00185AF7" w:rsidRDefault="00AB374D" w14:paraId="45D57D64" w14:textId="17F74EED">
      <w:pPr>
        <w:pStyle w:val="bParagraphtext"/>
      </w:pPr>
      <w:r>
        <w:t>The decision, t</w:t>
      </w:r>
      <w:r w:rsidR="008630D7">
        <w:t>aken on 27 March 2025, the Group Finance Director</w:t>
      </w:r>
      <w:r w:rsidR="003C71A0">
        <w:t xml:space="preserve"> to </w:t>
      </w:r>
      <w:r w:rsidRPr="003C71A0" w:rsidR="003C71A0">
        <w:t xml:space="preserve">agree a follow-on loan agreement for existing and future loans to </w:t>
      </w:r>
      <w:proofErr w:type="spellStart"/>
      <w:r w:rsidRPr="003C71A0" w:rsidR="003C71A0">
        <w:t>Ox</w:t>
      </w:r>
      <w:r w:rsidR="003C71A0">
        <w:t>W</w:t>
      </w:r>
      <w:r w:rsidRPr="003C71A0" w:rsidR="003C71A0">
        <w:t>ed</w:t>
      </w:r>
      <w:proofErr w:type="spellEnd"/>
      <w:r w:rsidRPr="003C71A0" w:rsidR="003C71A0">
        <w:t xml:space="preserve"> LLP</w:t>
      </w:r>
      <w:r w:rsidR="003C71A0">
        <w:t>.</w:t>
      </w:r>
    </w:p>
    <w:p w:rsidR="00734823" w:rsidP="00185AF7" w:rsidRDefault="00734823" w14:paraId="28CA9757" w14:textId="522AA621">
      <w:pPr>
        <w:pStyle w:val="bParagraphtext"/>
      </w:pPr>
      <w:r>
        <w:t xml:space="preserve">The Chair of the Scrutiny Committee </w:t>
      </w:r>
      <w:r w:rsidR="00E367B1">
        <w:t xml:space="preserve">was consulted </w:t>
      </w:r>
      <w:r>
        <w:t xml:space="preserve">to </w:t>
      </w:r>
      <w:r w:rsidR="00E367B1">
        <w:t>remove the call-in period under section 17.9 of the Constitution.</w:t>
      </w:r>
    </w:p>
    <w:p w:rsidR="00B12D55" w:rsidP="002B6836" w:rsidRDefault="00B12D55" w14:paraId="28CBAED6" w14:textId="77777777">
      <w:pPr>
        <w:pStyle w:val="bParagraphtext"/>
      </w:pPr>
      <w:proofErr w:type="spellStart"/>
      <w:r w:rsidRPr="00B12D55">
        <w:t>Oxwed</w:t>
      </w:r>
      <w:proofErr w:type="spellEnd"/>
      <w:r w:rsidRPr="00B12D55">
        <w:t xml:space="preserve"> LLP is a partnership between Oxford City Council and Nuffield College Developments 1 Limited.</w:t>
      </w:r>
    </w:p>
    <w:p w:rsidR="00B12D55" w:rsidP="002B6836" w:rsidRDefault="00B12D55" w14:paraId="7122D06B" w14:textId="77777777">
      <w:pPr>
        <w:pStyle w:val="bParagraphtext"/>
      </w:pPr>
      <w:r w:rsidRPr="00B12D55">
        <w:t xml:space="preserve">The partnership’s purpose is to facilitate the development of land held by the partnership in the </w:t>
      </w:r>
      <w:proofErr w:type="spellStart"/>
      <w:r w:rsidRPr="00B12D55">
        <w:t>Oxpens</w:t>
      </w:r>
      <w:proofErr w:type="spellEnd"/>
      <w:r w:rsidRPr="00B12D55">
        <w:t xml:space="preserve"> area of the City.</w:t>
      </w:r>
    </w:p>
    <w:p w:rsidR="0089109E" w:rsidP="002B6836" w:rsidRDefault="00B12D55" w14:paraId="4CFDEA17" w14:textId="77777777">
      <w:pPr>
        <w:pStyle w:val="bParagraphtext"/>
      </w:pPr>
      <w:r w:rsidRPr="00B12D55">
        <w:t xml:space="preserve">There is an existing loan agreement in place which terminates on 31st March 2025. It is therefore necessary to agree a new loan agreement in order to allow </w:t>
      </w:r>
      <w:proofErr w:type="spellStart"/>
      <w:r w:rsidRPr="00B12D55">
        <w:t>Oxwed</w:t>
      </w:r>
      <w:proofErr w:type="spellEnd"/>
      <w:r w:rsidRPr="00B12D55">
        <w:t xml:space="preserve"> LLP to continue with the development proposals.</w:t>
      </w:r>
    </w:p>
    <w:p w:rsidR="0089109E" w:rsidP="002B6836" w:rsidRDefault="00B12D55" w14:paraId="231C8B8B" w14:textId="77777777">
      <w:pPr>
        <w:pStyle w:val="bParagraphtext"/>
      </w:pPr>
      <w:r w:rsidRPr="00B12D55">
        <w:t>The background to and key terms of the agreement were agreed by Cabinet on 5 February 2025. This decision is therefore to agree to a loan agreement in accordance with those terms.</w:t>
      </w:r>
    </w:p>
    <w:p w:rsidR="00B12D55" w:rsidP="002B6836" w:rsidRDefault="00B12D55" w14:paraId="0DEDAB63" w14:textId="721D26EF">
      <w:pPr>
        <w:pStyle w:val="bParagraphtext"/>
      </w:pPr>
      <w:r w:rsidRPr="00B12D55">
        <w:t>This decision d</w:t>
      </w:r>
      <w:r w:rsidR="0089109E">
        <w:t>id</w:t>
      </w:r>
      <w:r w:rsidRPr="00B12D55">
        <w:t xml:space="preserve"> not result in any additional financial commitment beyond that already agreed by Cabinet and Council in providing loans to </w:t>
      </w:r>
      <w:proofErr w:type="spellStart"/>
      <w:r w:rsidRPr="00B12D55">
        <w:t>Oxwed</w:t>
      </w:r>
      <w:proofErr w:type="spellEnd"/>
      <w:r w:rsidRPr="00B12D55">
        <w:t xml:space="preserve"> LLP. Any additional loans beyond those already agreed would only be provided in line with separate Cabinet and Council approval.</w:t>
      </w:r>
    </w:p>
    <w:p w:rsidR="0087268F" w:rsidP="0087268F" w:rsidRDefault="00CA21E6" w14:paraId="472D6349" w14:textId="77777777">
      <w:pPr>
        <w:pStyle w:val="bParagraphtext"/>
      </w:pPr>
      <w:r w:rsidRPr="00CA21E6">
        <w:t>Risks relating to this report are risks facing the development itself which may impact on the returns obtained from the development. The agreement terms allow for the loans and interest arising therefrom to be secured on the land held by the LLP. The land value is higher than the value of current and anticipated loans and interest debt and therefore risk of development failure is mitigated.</w:t>
      </w:r>
    </w:p>
    <w:p w:rsidR="00AE1112" w:rsidP="0087268F" w:rsidRDefault="00AB374D" w14:paraId="7552E81F" w14:textId="33E7301C">
      <w:pPr>
        <w:pStyle w:val="bParagraphtext"/>
      </w:pPr>
      <w:r>
        <w:t xml:space="preserve">Reasons for decision </w:t>
      </w:r>
      <w:r w:rsidR="00AE1112">
        <w:t>–</w:t>
      </w:r>
      <w:r>
        <w:t xml:space="preserve"> </w:t>
      </w:r>
      <w:r w:rsidR="00AE1112">
        <w:t>the existing loan agreement ends on 31 March 2025 and a replacement loan agreement is required.</w:t>
      </w:r>
    </w:p>
    <w:p w:rsidR="00AE1112" w:rsidP="00AE1112" w:rsidRDefault="00AE1112" w14:paraId="057E49C8" w14:textId="77777777">
      <w:pPr>
        <w:pStyle w:val="bParagraphtext"/>
      </w:pPr>
      <w:r>
        <w:t>Alternative Options Considered - s</w:t>
      </w:r>
      <w:r w:rsidRPr="00AE1112">
        <w:t xml:space="preserve">ince the </w:t>
      </w:r>
      <w:proofErr w:type="spellStart"/>
      <w:r w:rsidRPr="00AE1112">
        <w:t>Oxwed</w:t>
      </w:r>
      <w:proofErr w:type="spellEnd"/>
      <w:r w:rsidRPr="00AE1112">
        <w:t xml:space="preserve"> LLP still requires loans to progress the development, the only other option would be to require the LLP to seek loans from elsewhere. This is not considered appropriate because this would result in interest being paid to parties other than the Partners, thus resulting in a lower overall return to the Council.</w:t>
      </w:r>
    </w:p>
    <w:p w:rsidR="00AE1112" w:rsidP="00AE1112" w:rsidRDefault="00AE1112" w14:paraId="0B21A78E" w14:textId="6D5A070F">
      <w:pPr>
        <w:pStyle w:val="bParagraphtext"/>
      </w:pPr>
      <w:r w:rsidRPr="00AE1112">
        <w:t xml:space="preserve">Additionally, if a </w:t>
      </w:r>
      <w:r w:rsidRPr="00AE1112" w:rsidR="00522494">
        <w:t>third-party</w:t>
      </w:r>
      <w:r w:rsidRPr="00AE1112">
        <w:t xml:space="preserve"> lender were to be involved this would dilute the control that the partners of the LLP currently have over shaping the development.</w:t>
      </w:r>
    </w:p>
    <w:p w:rsidRPr="00272CC4" w:rsidR="00272CC4" w:rsidP="00272CC4" w:rsidRDefault="00272CC4" w14:paraId="1B1A63A0" w14:textId="109E48A5">
      <w:pPr>
        <w:pStyle w:val="bParagraphtext"/>
        <w:numPr>
          <w:ilvl w:val="0"/>
          <w:numId w:val="0"/>
        </w:numPr>
        <w:spacing w:before="240"/>
        <w:rPr>
          <w:bCs/>
        </w:rPr>
      </w:pPr>
      <w:r w:rsidRPr="00272CC4">
        <w:rPr>
          <w:rStyle w:val="Firstpagetablebold"/>
          <w:rFonts w:cs="Arial"/>
          <w:bCs/>
          <w:color w:val="auto"/>
        </w:rPr>
        <w:t>To sell the freehold title of 64-65 Cornmarket Street</w:t>
      </w:r>
    </w:p>
    <w:p w:rsidRPr="00272CC4" w:rsidR="00272CC4" w:rsidP="0087268F" w:rsidRDefault="00272CC4" w14:paraId="0D36DE36" w14:textId="7BA49DDA">
      <w:pPr>
        <w:pStyle w:val="ListParagraph"/>
        <w:rPr>
          <w:rStyle w:val="Firstpagetablebold"/>
          <w:b w:val="0"/>
        </w:rPr>
      </w:pPr>
      <w:r>
        <w:t xml:space="preserve">The decision, taken on </w:t>
      </w:r>
      <w:r w:rsidR="66E6498C">
        <w:t>2 May</w:t>
      </w:r>
      <w:r>
        <w:t xml:space="preserve"> 2025 was to </w:t>
      </w:r>
      <w:r w:rsidRPr="1D538C83">
        <w:rPr>
          <w:rStyle w:val="Firstpagetablebold"/>
          <w:rFonts w:cs="Arial"/>
          <w:b w:val="0"/>
          <w:color w:val="auto"/>
        </w:rPr>
        <w:t>sell the freehold title of 64-65 Cornmarket Street.</w:t>
      </w:r>
    </w:p>
    <w:p w:rsidR="00272CC4" w:rsidP="00272CC4" w:rsidRDefault="00272CC4" w14:paraId="3FFB1097" w14:textId="77777777">
      <w:pPr>
        <w:pStyle w:val="bParagraphtext"/>
        <w:ind w:left="426" w:hanging="426"/>
      </w:pPr>
      <w:r>
        <w:t>The Chair of the Scrutiny Committee was consulted to remove the call-in period under section 17.9 of the Constitution.</w:t>
      </w:r>
    </w:p>
    <w:p w:rsidRPr="00DE3615" w:rsidR="00851428" w:rsidP="00851428" w:rsidRDefault="00851428" w14:paraId="0EB39E7B" w14:textId="1533C9FE">
      <w:pPr>
        <w:pStyle w:val="ListParagraph"/>
        <w:rPr>
          <w:color w:val="auto"/>
        </w:rPr>
      </w:pPr>
      <w:r w:rsidRPr="00DE3615">
        <w:t>Oxford City Council own</w:t>
      </w:r>
      <w:r>
        <w:t>ed</w:t>
      </w:r>
      <w:r w:rsidRPr="00DE3615">
        <w:t xml:space="preserve"> the freehold of 64-65 Cornmarket Street, currently leased to HSBC on a </w:t>
      </w:r>
      <w:r w:rsidRPr="00DE3615" w:rsidR="00687418">
        <w:t>5-year</w:t>
      </w:r>
      <w:r w:rsidRPr="00DE3615">
        <w:t xml:space="preserve"> lease expiring September 2025, with a renewal in progress for another 5 years. The freehold is not held in its entirety by </w:t>
      </w:r>
      <w:r>
        <w:t>the Council</w:t>
      </w:r>
      <w:r w:rsidRPr="00DE3615">
        <w:t xml:space="preserve"> and is instead split with another freeholder</w:t>
      </w:r>
      <w:r w:rsidR="00522494">
        <w:t>.</w:t>
      </w:r>
    </w:p>
    <w:p w:rsidRPr="00DE3615" w:rsidR="00851428" w:rsidP="00851428" w:rsidRDefault="00851428" w14:paraId="1BD39666" w14:textId="74D4B3EC">
      <w:pPr>
        <w:pStyle w:val="ListParagraph"/>
      </w:pPr>
      <w:r w:rsidRPr="00DE3615">
        <w:t xml:space="preserve">An options analysis was previously carried out at the end of last year in the lead up to the expiry of the lease to HSBC to understand best future use for the property. Due to the complicated nature of the split freehold, the substantial upper parts and the fact the property is listed, there was very limited potential for any regeneration or change of use of the building if HSBC were to vacate after the expiry in 2030, which is likely as we are aware they are seeking alternative premises. This is due to the capital expenditure required to convert the property into any alternative use being too high for the rental income </w:t>
      </w:r>
      <w:r w:rsidR="00687418">
        <w:t>the Council</w:t>
      </w:r>
      <w:r w:rsidRPr="00DE3615">
        <w:t xml:space="preserve"> would receive, as well as the awkward nature of the freehold split likely to deter interest from parties.</w:t>
      </w:r>
    </w:p>
    <w:p w:rsidR="00851428" w:rsidP="00851428" w:rsidRDefault="00851428" w14:paraId="649A4E1D" w14:textId="76C69744">
      <w:pPr>
        <w:pStyle w:val="ListParagraph"/>
      </w:pPr>
      <w:r w:rsidRPr="00DE3615">
        <w:t>The new freeholder of the other portion of the property</w:t>
      </w:r>
      <w:r w:rsidR="00522494">
        <w:t xml:space="preserve"> </w:t>
      </w:r>
      <w:r w:rsidRPr="00DE3615">
        <w:t>ha</w:t>
      </w:r>
      <w:r w:rsidR="00522494">
        <w:t>d</w:t>
      </w:r>
      <w:r w:rsidRPr="00DE3615">
        <w:t xml:space="preserve"> put forward an offer to purchase the Council</w:t>
      </w:r>
      <w:r w:rsidR="00522494">
        <w:t>’</w:t>
      </w:r>
      <w:r w:rsidRPr="00DE3615">
        <w:t>s freehold interest. Due to the outcome of the options analysis, we are recommending the Council accepts the offer and proceeds with the transfer of freehold title.</w:t>
      </w:r>
    </w:p>
    <w:p w:rsidRPr="00EE4434" w:rsidR="00EE4434" w:rsidP="00EE4434" w:rsidRDefault="00C122D8" w14:paraId="2CB231D2" w14:textId="11249809">
      <w:pPr>
        <w:pStyle w:val="bParagraphtext"/>
        <w:ind w:left="426" w:hanging="426"/>
        <w:rPr>
          <w:rFonts w:cs="Arial"/>
          <w:color w:val="auto"/>
        </w:rPr>
      </w:pPr>
      <w:r>
        <w:t>Reasons for decision</w:t>
      </w:r>
      <w:r w:rsidR="00EE4434">
        <w:t xml:space="preserve"> –</w:t>
      </w:r>
      <w:r w:rsidR="00EE4434">
        <w:rPr>
          <w:rFonts w:cs="Arial"/>
          <w:color w:val="auto"/>
        </w:rPr>
        <w:t xml:space="preserve"> t</w:t>
      </w:r>
      <w:r w:rsidRPr="00EE4434" w:rsidR="00EE4434">
        <w:rPr>
          <w:rFonts w:cs="Arial"/>
          <w:color w:val="auto"/>
        </w:rPr>
        <w:t xml:space="preserve">he decision provides the Council with a capital receipt for a property that would otherwise have restricted options in the future. </w:t>
      </w:r>
    </w:p>
    <w:p w:rsidRPr="00EE4434" w:rsidR="00272CC4" w:rsidP="00EE4434" w:rsidRDefault="00EE4434" w14:paraId="45AAAEA7" w14:textId="4768A52E">
      <w:pPr>
        <w:pStyle w:val="bParagraphtext"/>
        <w:ind w:left="426" w:hanging="426"/>
        <w:rPr>
          <w:rFonts w:cs="Arial"/>
          <w:color w:val="auto"/>
        </w:rPr>
      </w:pPr>
      <w:r>
        <w:rPr>
          <w:rFonts w:cs="Arial"/>
          <w:color w:val="auto"/>
        </w:rPr>
        <w:t xml:space="preserve">The reason this was taken as an urgent decision was due to the tight timescales for completion of the sale within 30 days, which, if not progressed, would leave the Council with a potential problematic property to manage in the future, with the possibility of high void costs and maintenance liabilities. </w:t>
      </w:r>
    </w:p>
    <w:p w:rsidRPr="002B6836" w:rsidR="00C122D8" w:rsidP="00687418" w:rsidRDefault="00C122D8" w14:paraId="7DB91E6D" w14:textId="47FE60D6">
      <w:pPr>
        <w:pStyle w:val="ListParagraph"/>
        <w:ind w:left="426" w:hanging="426"/>
      </w:pPr>
      <w:r>
        <w:t>Alternative Options Considered – The alternative option is to not proceed with the sale. It is believed that an offer of this level would not be forthcoming from another purchaser due to the nature of the purchaser being a neighbouring freeholder and viewed as a “special purchaser”.</w:t>
      </w:r>
    </w:p>
    <w:p w:rsidRPr="002B6836" w:rsidR="0040736F" w:rsidP="002B6836" w:rsidRDefault="002329CF" w14:paraId="11308776" w14:textId="77777777">
      <w:pPr>
        <w:pStyle w:val="Heading1"/>
      </w:pPr>
      <w:r w:rsidRPr="002B6836">
        <w:t>Financial implications</w:t>
      </w:r>
    </w:p>
    <w:p w:rsidR="005609F0" w:rsidP="005609F0" w:rsidRDefault="005609F0" w14:paraId="22CABC47" w14:textId="77CC39E2">
      <w:pPr>
        <w:pStyle w:val="ListParagraph"/>
      </w:pPr>
      <w:r>
        <w:t>There are no financial issues arising directly from this report.</w:t>
      </w:r>
    </w:p>
    <w:p w:rsidRPr="001356F1" w:rsidR="00707853" w:rsidP="00707853" w:rsidRDefault="00707853" w14:paraId="69A7A335" w14:textId="5F134CE7">
      <w:pPr>
        <w:pStyle w:val="ListParagraph"/>
      </w:pPr>
      <w:r>
        <w:t>Financial implications for each of the Urgent Key Decisions have been outlined above, and the Group Finance Director (Section 151 Officer) was consulted before each decision was taken.</w:t>
      </w:r>
    </w:p>
    <w:p w:rsidRPr="001356F1" w:rsidR="0040736F" w:rsidP="004A6D2F" w:rsidRDefault="00DA614B" w14:paraId="06827778" w14:textId="77777777">
      <w:pPr>
        <w:pStyle w:val="Heading1"/>
      </w:pPr>
      <w:r w:rsidRPr="001356F1">
        <w:t>Legal issues</w:t>
      </w:r>
    </w:p>
    <w:p w:rsidR="005609F0" w:rsidP="00CA21E6" w:rsidRDefault="005609F0" w14:paraId="6EDA1722" w14:textId="7A39B316">
      <w:pPr>
        <w:pStyle w:val="ListParagraph"/>
      </w:pPr>
      <w:r>
        <w:t xml:space="preserve">Regulation 19 of </w:t>
      </w:r>
      <w:r w:rsidRPr="00954F81">
        <w:t>The Local Authorities (Executive Arrangements) (Meetings and Access to Information) (England) Regulations 2012</w:t>
      </w:r>
      <w:r>
        <w:t xml:space="preserve"> requires that the executive Leader submits a report to the authority at least annually on executive decisions taken in cases of special urgency (Regulation 11), including the particulars of each decision. </w:t>
      </w:r>
    </w:p>
    <w:p w:rsidR="002329CF" w:rsidP="1D538C83" w:rsidRDefault="00C21E30" w14:paraId="3384B174" w14:textId="632C27F4">
      <w:pPr>
        <w:pStyle w:val="ListParagraph"/>
      </w:pPr>
      <w:r>
        <w:t>Legal issues for each of the Urgent Key Decisions have been outlined above, and the Director of Law, Governance and Strategy (Monitoring Officer) was consulted before each decision was taken.</w:t>
      </w:r>
    </w:p>
    <w:p w:rsidRPr="001356F1" w:rsidR="0087268F" w:rsidP="0087268F" w:rsidRDefault="0087268F" w14:paraId="3B91A250" w14:textId="77777777"/>
    <w:tbl>
      <w:tblPr>
        <w:tblW w:w="0" w:type="auto"/>
        <w:tblInd w:w="108" w:type="dxa"/>
        <w:tblBorders>
          <w:top w:val="single" w:color="C0504D" w:sz="4" w:space="0"/>
          <w:left w:val="single" w:color="C0504D" w:sz="4" w:space="0"/>
          <w:bottom w:val="single" w:color="C0504D" w:sz="4" w:space="0"/>
          <w:right w:val="single" w:color="C0504D" w:sz="4" w:space="0"/>
        </w:tblBorders>
        <w:tblLook w:val="04A0" w:firstRow="1" w:lastRow="0" w:firstColumn="1" w:lastColumn="0" w:noHBand="0" w:noVBand="1"/>
      </w:tblPr>
      <w:tblGrid>
        <w:gridCol w:w="3969"/>
        <w:gridCol w:w="4962"/>
      </w:tblGrid>
      <w:tr w:rsidRPr="001356F1" w:rsidR="00240FA4" w14:paraId="0C13D638" w14:textId="77777777">
        <w:trPr>
          <w:cantSplit/>
          <w:trHeight w:val="396"/>
        </w:trPr>
        <w:tc>
          <w:tcPr>
            <w:tcW w:w="3969" w:type="dxa"/>
            <w:tcBorders>
              <w:top w:val="single" w:color="000000" w:sz="8" w:space="0"/>
              <w:left w:val="single" w:color="000000" w:sz="8" w:space="0"/>
              <w:bottom w:val="single" w:color="000000" w:sz="8" w:space="0"/>
              <w:right w:val="nil"/>
            </w:tcBorders>
            <w:shd w:val="clear" w:color="auto" w:fill="auto"/>
          </w:tcPr>
          <w:p w:rsidRPr="001356F1" w:rsidR="00240FA4" w:rsidRDefault="00240FA4" w14:paraId="5B5ACC64" w14:textId="77777777">
            <w:pPr>
              <w:rPr>
                <w:b/>
              </w:rPr>
            </w:pPr>
            <w:r w:rsidRPr="001356F1">
              <w:rPr>
                <w:b/>
              </w:rPr>
              <w:t>Report author</w:t>
            </w:r>
          </w:p>
        </w:tc>
        <w:tc>
          <w:tcPr>
            <w:tcW w:w="4962" w:type="dxa"/>
            <w:tcBorders>
              <w:top w:val="single" w:color="000000" w:sz="8" w:space="0"/>
              <w:left w:val="nil"/>
              <w:bottom w:val="single" w:color="000000" w:sz="8" w:space="0"/>
              <w:right w:val="single" w:color="000000" w:sz="8" w:space="0"/>
            </w:tcBorders>
            <w:shd w:val="clear" w:color="auto" w:fill="auto"/>
          </w:tcPr>
          <w:p w:rsidRPr="001356F1" w:rsidR="00240FA4" w:rsidRDefault="00240FA4" w14:paraId="455FECFF" w14:textId="77777777">
            <w:r w:rsidRPr="00236841">
              <w:t>Jonathan Malton</w:t>
            </w:r>
          </w:p>
        </w:tc>
      </w:tr>
      <w:tr w:rsidRPr="001356F1" w:rsidR="00240FA4" w14:paraId="779E446A" w14:textId="77777777">
        <w:trPr>
          <w:cantSplit/>
          <w:trHeight w:val="396"/>
        </w:trPr>
        <w:tc>
          <w:tcPr>
            <w:tcW w:w="3969" w:type="dxa"/>
            <w:tcBorders>
              <w:top w:val="single" w:color="000000" w:sz="8" w:space="0"/>
              <w:left w:val="single" w:color="000000" w:sz="8" w:space="0"/>
              <w:bottom w:val="nil"/>
              <w:right w:val="nil"/>
            </w:tcBorders>
            <w:shd w:val="clear" w:color="auto" w:fill="auto"/>
          </w:tcPr>
          <w:p w:rsidRPr="001356F1" w:rsidR="00240FA4" w:rsidRDefault="00240FA4" w14:paraId="700DE52D" w14:textId="77777777">
            <w:r w:rsidRPr="001356F1">
              <w:t>Job title</w:t>
            </w:r>
          </w:p>
        </w:tc>
        <w:tc>
          <w:tcPr>
            <w:tcW w:w="4962" w:type="dxa"/>
            <w:tcBorders>
              <w:top w:val="single" w:color="000000" w:sz="8" w:space="0"/>
              <w:left w:val="nil"/>
              <w:bottom w:val="nil"/>
              <w:right w:val="single" w:color="000000" w:sz="8" w:space="0"/>
            </w:tcBorders>
            <w:shd w:val="clear" w:color="auto" w:fill="auto"/>
          </w:tcPr>
          <w:p w:rsidRPr="001356F1" w:rsidR="00240FA4" w:rsidRDefault="00240FA4" w14:paraId="601DF073" w14:textId="77777777">
            <w:r w:rsidRPr="00236841">
              <w:t>Committee and Member Services Manager</w:t>
            </w:r>
          </w:p>
        </w:tc>
      </w:tr>
      <w:tr w:rsidRPr="001356F1" w:rsidR="00240FA4" w14:paraId="6722C42E" w14:textId="77777777">
        <w:trPr>
          <w:cantSplit/>
          <w:trHeight w:val="396"/>
        </w:trPr>
        <w:tc>
          <w:tcPr>
            <w:tcW w:w="3969" w:type="dxa"/>
            <w:tcBorders>
              <w:top w:val="nil"/>
              <w:left w:val="single" w:color="000000" w:sz="8" w:space="0"/>
              <w:bottom w:val="nil"/>
              <w:right w:val="nil"/>
            </w:tcBorders>
            <w:shd w:val="clear" w:color="auto" w:fill="auto"/>
          </w:tcPr>
          <w:p w:rsidRPr="001356F1" w:rsidR="00240FA4" w:rsidRDefault="00240FA4" w14:paraId="0DB39225" w14:textId="77777777">
            <w:r w:rsidRPr="001356F1">
              <w:t>Service area or department</w:t>
            </w:r>
          </w:p>
        </w:tc>
        <w:tc>
          <w:tcPr>
            <w:tcW w:w="4962" w:type="dxa"/>
            <w:tcBorders>
              <w:top w:val="nil"/>
              <w:left w:val="nil"/>
              <w:bottom w:val="nil"/>
              <w:right w:val="single" w:color="000000" w:sz="8" w:space="0"/>
            </w:tcBorders>
            <w:shd w:val="clear" w:color="auto" w:fill="auto"/>
          </w:tcPr>
          <w:p w:rsidRPr="001356F1" w:rsidR="00240FA4" w:rsidRDefault="00240FA4" w14:paraId="3CFA3DD4" w14:textId="77777777">
            <w:r w:rsidRPr="00236841">
              <w:t>Law, Governance and Strategy</w:t>
            </w:r>
          </w:p>
        </w:tc>
      </w:tr>
      <w:tr w:rsidRPr="001356F1" w:rsidR="00240FA4" w14:paraId="61E3E0F1" w14:textId="77777777">
        <w:trPr>
          <w:cantSplit/>
          <w:trHeight w:val="396"/>
        </w:trPr>
        <w:tc>
          <w:tcPr>
            <w:tcW w:w="3969" w:type="dxa"/>
            <w:tcBorders>
              <w:top w:val="nil"/>
              <w:left w:val="single" w:color="000000" w:sz="8" w:space="0"/>
              <w:bottom w:val="nil"/>
              <w:right w:val="nil"/>
            </w:tcBorders>
            <w:shd w:val="clear" w:color="auto" w:fill="auto"/>
          </w:tcPr>
          <w:p w:rsidRPr="001356F1" w:rsidR="00240FA4" w:rsidRDefault="00240FA4" w14:paraId="3BCD1491" w14:textId="77777777">
            <w:r w:rsidRPr="001356F1">
              <w:t xml:space="preserve">Telephone </w:t>
            </w:r>
          </w:p>
        </w:tc>
        <w:tc>
          <w:tcPr>
            <w:tcW w:w="4962" w:type="dxa"/>
            <w:tcBorders>
              <w:top w:val="nil"/>
              <w:left w:val="nil"/>
              <w:bottom w:val="nil"/>
              <w:right w:val="single" w:color="000000" w:sz="8" w:space="0"/>
            </w:tcBorders>
            <w:shd w:val="clear" w:color="auto" w:fill="auto"/>
          </w:tcPr>
          <w:p w:rsidRPr="001356F1" w:rsidR="00240FA4" w:rsidRDefault="00240FA4" w14:paraId="459AE22E" w14:textId="77777777">
            <w:r w:rsidRPr="00236841">
              <w:t xml:space="preserve">01865 602767 </w:t>
            </w:r>
          </w:p>
        </w:tc>
      </w:tr>
      <w:tr w:rsidRPr="001356F1" w:rsidR="00240FA4" w14:paraId="4A68B523" w14:textId="77777777">
        <w:trPr>
          <w:cantSplit/>
          <w:trHeight w:val="396"/>
        </w:trPr>
        <w:tc>
          <w:tcPr>
            <w:tcW w:w="3969" w:type="dxa"/>
            <w:tcBorders>
              <w:top w:val="nil"/>
              <w:left w:val="single" w:color="000000" w:sz="8" w:space="0"/>
              <w:bottom w:val="single" w:color="000000" w:sz="8" w:space="0"/>
              <w:right w:val="nil"/>
            </w:tcBorders>
            <w:shd w:val="clear" w:color="auto" w:fill="auto"/>
          </w:tcPr>
          <w:p w:rsidRPr="001356F1" w:rsidR="00240FA4" w:rsidRDefault="00240FA4" w14:paraId="7E395C68" w14:textId="77777777">
            <w:r w:rsidRPr="001356F1">
              <w:t xml:space="preserve">e-mail </w:t>
            </w:r>
          </w:p>
        </w:tc>
        <w:tc>
          <w:tcPr>
            <w:tcW w:w="4962" w:type="dxa"/>
            <w:tcBorders>
              <w:top w:val="nil"/>
              <w:left w:val="nil"/>
              <w:bottom w:val="single" w:color="000000" w:sz="8" w:space="0"/>
              <w:right w:val="single" w:color="000000" w:sz="8" w:space="0"/>
            </w:tcBorders>
            <w:shd w:val="clear" w:color="auto" w:fill="auto"/>
          </w:tcPr>
          <w:p w:rsidRPr="001356F1" w:rsidR="00240FA4" w:rsidRDefault="006017BB" w14:paraId="799B0055" w14:textId="77777777">
            <w:pPr>
              <w:rPr>
                <w:rStyle w:val="Hyperlink"/>
                <w:color w:val="000000"/>
              </w:rPr>
            </w:pPr>
            <w:hyperlink w:history="1" r:id="rId11">
              <w:r w:rsidRPr="007E5B01" w:rsidR="00240FA4">
                <w:rPr>
                  <w:rStyle w:val="Hyperlink"/>
                </w:rPr>
                <w:t>jmalton@oxford.gov.uk</w:t>
              </w:r>
            </w:hyperlink>
          </w:p>
        </w:tc>
      </w:tr>
    </w:tbl>
    <w:p w:rsidRPr="001356F1" w:rsidR="00240FA4" w:rsidP="004A6D2F" w:rsidRDefault="00240FA4" w14:paraId="38777F48" w14:textId="77777777"/>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67"/>
        <w:gridCol w:w="8364"/>
      </w:tblGrid>
      <w:tr w:rsidRPr="001356F1" w:rsidR="00DF093E" w:rsidTr="1D538C83" w14:paraId="12CCF8EE" w14:textId="77777777">
        <w:tc>
          <w:tcPr>
            <w:tcW w:w="8931" w:type="dxa"/>
            <w:gridSpan w:val="2"/>
            <w:tcBorders>
              <w:top w:val="single" w:color="auto" w:sz="4" w:space="0"/>
              <w:left w:val="single" w:color="auto" w:sz="4" w:space="0"/>
              <w:bottom w:val="single" w:color="000000" w:themeColor="text1" w:sz="8" w:space="0"/>
              <w:right w:val="single" w:color="auto" w:sz="4" w:space="0"/>
            </w:tcBorders>
            <w:shd w:val="clear" w:color="auto" w:fill="auto"/>
          </w:tcPr>
          <w:p w:rsidRPr="002C0D1F" w:rsidR="0093067A" w:rsidP="002C0D1F" w:rsidRDefault="282C914F" w14:paraId="7116CD40" w14:textId="61504166">
            <w:r w:rsidRPr="62B73EE3">
              <w:rPr>
                <w:rStyle w:val="Firstpagetablebold"/>
              </w:rPr>
              <w:t xml:space="preserve">Background Papers: </w:t>
            </w:r>
          </w:p>
        </w:tc>
      </w:tr>
      <w:tr w:rsidRPr="001356F1" w:rsidR="00DF093E" w:rsidTr="1D538C83" w14:paraId="4B513816" w14:textId="77777777">
        <w:tc>
          <w:tcPr>
            <w:tcW w:w="567" w:type="dxa"/>
            <w:tcBorders>
              <w:top w:val="single" w:color="000000" w:themeColor="text1" w:sz="8" w:space="0"/>
              <w:left w:val="single" w:color="000000" w:themeColor="text1" w:sz="8" w:space="0"/>
              <w:bottom w:val="nil"/>
              <w:right w:val="nil"/>
            </w:tcBorders>
            <w:shd w:val="clear" w:color="auto" w:fill="auto"/>
          </w:tcPr>
          <w:p w:rsidRPr="001356F1" w:rsidR="0093067A" w:rsidP="00F41AC1" w:rsidRDefault="00182B81" w14:paraId="5C766C7F" w14:textId="77777777">
            <w:r w:rsidRPr="001356F1">
              <w:t>1</w:t>
            </w:r>
          </w:p>
        </w:tc>
        <w:tc>
          <w:tcPr>
            <w:tcW w:w="8364" w:type="dxa"/>
            <w:tcBorders>
              <w:top w:val="single" w:color="000000" w:themeColor="text1" w:sz="8" w:space="0"/>
              <w:left w:val="nil"/>
              <w:bottom w:val="nil"/>
              <w:right w:val="single" w:color="000000" w:themeColor="text1" w:sz="8" w:space="0"/>
            </w:tcBorders>
          </w:tcPr>
          <w:p w:rsidRPr="001356F1" w:rsidR="0093067A" w:rsidP="1D538C83" w:rsidRDefault="006017BB" w14:paraId="462D1A28" w14:textId="28AD6F89">
            <w:pPr>
              <w:rPr>
                <w:rFonts w:eastAsia="Arial" w:cs="Arial"/>
              </w:rPr>
            </w:pPr>
            <w:hyperlink r:id="rId12">
              <w:r w:rsidRPr="1D538C83" w:rsidR="49E0EE02">
                <w:rPr>
                  <w:rStyle w:val="Hyperlink"/>
                  <w:rFonts w:eastAsia="Arial" w:cs="Arial"/>
                </w:rPr>
                <w:t>Agenda for Cabinet on Wednesday 19 March 2025, 6.00 pm | Oxford City Council</w:t>
              </w:r>
            </w:hyperlink>
          </w:p>
        </w:tc>
      </w:tr>
      <w:tr w:rsidRPr="001356F1" w:rsidR="00DF093E" w:rsidTr="1D538C83" w14:paraId="6C6E75FA" w14:textId="77777777">
        <w:tc>
          <w:tcPr>
            <w:tcW w:w="567" w:type="dxa"/>
            <w:tcBorders>
              <w:top w:val="nil"/>
              <w:left w:val="single" w:color="000000" w:themeColor="text1" w:sz="8" w:space="0"/>
              <w:bottom w:val="nil"/>
              <w:right w:val="nil"/>
            </w:tcBorders>
            <w:shd w:val="clear" w:color="auto" w:fill="auto"/>
          </w:tcPr>
          <w:p w:rsidRPr="001356F1" w:rsidR="0093067A" w:rsidP="00F41AC1" w:rsidRDefault="00182B81" w14:paraId="05E18FBE" w14:textId="77777777">
            <w:r w:rsidRPr="001356F1">
              <w:t>2</w:t>
            </w:r>
          </w:p>
        </w:tc>
        <w:tc>
          <w:tcPr>
            <w:tcW w:w="8364" w:type="dxa"/>
            <w:tcBorders>
              <w:top w:val="nil"/>
              <w:left w:val="nil"/>
              <w:bottom w:val="nil"/>
              <w:right w:val="single" w:color="000000" w:themeColor="text1" w:sz="8" w:space="0"/>
            </w:tcBorders>
          </w:tcPr>
          <w:p w:rsidRPr="001356F1" w:rsidR="0093067A" w:rsidP="00F41AC1" w:rsidRDefault="006017BB" w14:paraId="39542725" w14:textId="5767D717">
            <w:hyperlink r:id="rId13">
              <w:r w:rsidRPr="29A263C4" w:rsidR="1FD1952E">
                <w:rPr>
                  <w:rStyle w:val="Hyperlink"/>
                </w:rPr>
                <w:t xml:space="preserve">Decision - </w:t>
              </w:r>
              <w:proofErr w:type="spellStart"/>
              <w:r w:rsidRPr="29A263C4" w:rsidR="1FD1952E">
                <w:rPr>
                  <w:rStyle w:val="Hyperlink"/>
                </w:rPr>
                <w:t>Oxwed</w:t>
              </w:r>
              <w:proofErr w:type="spellEnd"/>
              <w:r w:rsidRPr="29A263C4" w:rsidR="1FD1952E">
                <w:rPr>
                  <w:rStyle w:val="Hyperlink"/>
                </w:rPr>
                <w:t xml:space="preserve"> LLP Funding Arrangements | Oxford City Council</w:t>
              </w:r>
            </w:hyperlink>
          </w:p>
        </w:tc>
      </w:tr>
      <w:tr w:rsidRPr="00A46E98" w:rsidR="005570B5" w:rsidTr="1D538C83" w14:paraId="0EFBD437" w14:textId="77777777">
        <w:tc>
          <w:tcPr>
            <w:tcW w:w="567" w:type="dxa"/>
            <w:tcBorders>
              <w:top w:val="nil"/>
              <w:left w:val="single" w:color="000000" w:themeColor="text1" w:sz="8" w:space="0"/>
              <w:bottom w:val="single" w:color="000000" w:themeColor="text1" w:sz="8" w:space="0"/>
              <w:right w:val="nil"/>
            </w:tcBorders>
            <w:shd w:val="clear" w:color="auto" w:fill="auto"/>
          </w:tcPr>
          <w:p w:rsidRPr="00A46E98" w:rsidR="0093067A" w:rsidP="2FD27BA3" w:rsidRDefault="1FD1952E" w14:paraId="67643100" w14:textId="5F5D1D5C">
            <w:pPr>
              <w:spacing w:line="259" w:lineRule="auto"/>
            </w:pPr>
            <w:r>
              <w:t>3</w:t>
            </w:r>
          </w:p>
        </w:tc>
        <w:tc>
          <w:tcPr>
            <w:tcW w:w="8364" w:type="dxa"/>
            <w:tcBorders>
              <w:top w:val="nil"/>
              <w:left w:val="nil"/>
              <w:bottom w:val="single" w:color="000000" w:themeColor="text1" w:sz="8" w:space="0"/>
              <w:right w:val="single" w:color="000000" w:themeColor="text1" w:sz="8" w:space="0"/>
            </w:tcBorders>
          </w:tcPr>
          <w:p w:rsidRPr="00A46E98" w:rsidR="0093067A" w:rsidP="1D538C83" w:rsidRDefault="006017BB" w14:paraId="09B8BB73" w14:textId="5C60F148">
            <w:pPr>
              <w:rPr>
                <w:rFonts w:eastAsia="Arial" w:cs="Arial"/>
              </w:rPr>
            </w:pPr>
            <w:hyperlink r:id="rId14">
              <w:r w:rsidRPr="1D538C83" w:rsidR="1FD1952E">
                <w:rPr>
                  <w:rStyle w:val="Hyperlink"/>
                  <w:rFonts w:eastAsia="Arial" w:cs="Arial"/>
                </w:rPr>
                <w:t>Decision - To sell the freehold title of 64-65 Cornmarket Street | Oxford City Council</w:t>
              </w:r>
            </w:hyperlink>
          </w:p>
        </w:tc>
      </w:tr>
    </w:tbl>
    <w:p w:rsidRPr="009E51FC" w:rsidR="004456DD" w:rsidP="0093067A" w:rsidRDefault="004456DD" w14:paraId="1FE671BD" w14:textId="77777777"/>
    <w:sectPr w:rsidRPr="009E51FC" w:rsidR="004456DD" w:rsidSect="002B6836">
      <w:footerReference w:type="even" r:id="rId15"/>
      <w:headerReference w:type="first" r:id="rId16"/>
      <w:pgSz w:w="11906" w:h="16838" w:orient="portrait" w:code="9"/>
      <w:pgMar w:top="1418" w:right="1304" w:bottom="1304" w:left="1304" w:header="113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A1A0C" w:rsidP="004A6D2F" w:rsidRDefault="007A1A0C" w14:paraId="7D220C4B" w14:textId="77777777">
      <w:r>
        <w:separator/>
      </w:r>
    </w:p>
  </w:endnote>
  <w:endnote w:type="continuationSeparator" w:id="0">
    <w:p w:rsidR="007A1A0C" w:rsidP="004A6D2F" w:rsidRDefault="007A1A0C" w14:paraId="6346BA73" w14:textId="77777777">
      <w:r>
        <w:continuationSeparator/>
      </w:r>
    </w:p>
  </w:endnote>
  <w:endnote w:type="continuationNotice" w:id="1">
    <w:p w:rsidR="007A1A0C" w:rsidRDefault="007A1A0C" w14:paraId="5F65A366"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4FAD" w:rsidP="004A6D2F" w:rsidRDefault="00364FAD" w14:paraId="098A7B8B" w14:textId="77777777">
    <w:pPr>
      <w:pStyle w:val="Footer"/>
    </w:pPr>
    <w:r>
      <w:t>Do not use a footer or page numbers.</w:t>
    </w:r>
  </w:p>
  <w:p w:rsidR="00364FAD" w:rsidP="004A6D2F" w:rsidRDefault="00364FAD" w14:paraId="20B2461C" w14:textId="77777777">
    <w:pPr>
      <w:pStyle w:val="Footer"/>
    </w:pPr>
  </w:p>
  <w:p w:rsidR="00364FAD" w:rsidP="004A6D2F" w:rsidRDefault="00364FAD" w14:paraId="7238660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A1A0C" w:rsidP="004A6D2F" w:rsidRDefault="007A1A0C" w14:paraId="076A12C4" w14:textId="77777777">
      <w:r>
        <w:separator/>
      </w:r>
    </w:p>
  </w:footnote>
  <w:footnote w:type="continuationSeparator" w:id="0">
    <w:p w:rsidR="007A1A0C" w:rsidP="004A6D2F" w:rsidRDefault="007A1A0C" w14:paraId="4AA74E9C" w14:textId="77777777">
      <w:r>
        <w:continuationSeparator/>
      </w:r>
    </w:p>
  </w:footnote>
  <w:footnote w:type="continuationNotice" w:id="1">
    <w:p w:rsidR="007A1A0C" w:rsidRDefault="007A1A0C" w14:paraId="2ED740BC"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5547E" w:rsidP="00D5547E" w:rsidRDefault="00C05260" w14:paraId="4A0D1F7F" w14:textId="77777777">
    <w:pPr>
      <w:pStyle w:val="Header"/>
      <w:jc w:val="right"/>
    </w:pPr>
    <w:r>
      <w:rPr>
        <w:noProof/>
      </w:rPr>
      <w:drawing>
        <wp:inline distT="0" distB="0" distL="0" distR="0" wp14:anchorId="35341002" wp14:editId="2956E09D">
          <wp:extent cx="838200" cy="1119505"/>
          <wp:effectExtent l="0" t="0" r="0" b="4445"/>
          <wp:docPr id="1" name="Picture 1" title="Oxford Ci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c_bl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1119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DEC5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70EF9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B46E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B90A3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B347642"/>
    <w:lvl w:ilvl="0">
      <w:start w:val="1"/>
      <w:numFmt w:val="bullet"/>
      <w:lvlText w:val=""/>
      <w:lvlJc w:val="left"/>
      <w:pPr>
        <w:tabs>
          <w:tab w:val="num" w:pos="1492"/>
        </w:tabs>
        <w:ind w:left="1492" w:hanging="360"/>
      </w:pPr>
      <w:rPr>
        <w:rFonts w:hint="default" w:ascii="Symbol" w:hAnsi="Symbol"/>
      </w:rPr>
    </w:lvl>
  </w:abstractNum>
  <w:abstractNum w:abstractNumId="5" w15:restartNumberingAfterBreak="0">
    <w:nsid w:val="FFFFFF81"/>
    <w:multiLevelType w:val="singleLevel"/>
    <w:tmpl w:val="4F06035C"/>
    <w:lvl w:ilvl="0">
      <w:start w:val="1"/>
      <w:numFmt w:val="bullet"/>
      <w:lvlText w:val=""/>
      <w:lvlJc w:val="left"/>
      <w:pPr>
        <w:tabs>
          <w:tab w:val="num" w:pos="1209"/>
        </w:tabs>
        <w:ind w:left="1209" w:hanging="360"/>
      </w:pPr>
      <w:rPr>
        <w:rFonts w:hint="default" w:ascii="Symbol" w:hAnsi="Symbol"/>
      </w:rPr>
    </w:lvl>
  </w:abstractNum>
  <w:abstractNum w:abstractNumId="6" w15:restartNumberingAfterBreak="0">
    <w:nsid w:val="FFFFFF82"/>
    <w:multiLevelType w:val="singleLevel"/>
    <w:tmpl w:val="BAC25304"/>
    <w:lvl w:ilvl="0">
      <w:start w:val="1"/>
      <w:numFmt w:val="bullet"/>
      <w:lvlText w:val=""/>
      <w:lvlJc w:val="left"/>
      <w:pPr>
        <w:tabs>
          <w:tab w:val="num" w:pos="926"/>
        </w:tabs>
        <w:ind w:left="926" w:hanging="360"/>
      </w:pPr>
      <w:rPr>
        <w:rFonts w:hint="default" w:ascii="Symbol" w:hAnsi="Symbol"/>
      </w:rPr>
    </w:lvl>
  </w:abstractNum>
  <w:abstractNum w:abstractNumId="7" w15:restartNumberingAfterBreak="0">
    <w:nsid w:val="FFFFFF83"/>
    <w:multiLevelType w:val="singleLevel"/>
    <w:tmpl w:val="74CAEA8C"/>
    <w:lvl w:ilvl="0">
      <w:start w:val="1"/>
      <w:numFmt w:val="bullet"/>
      <w:lvlText w:val=""/>
      <w:lvlJc w:val="left"/>
      <w:pPr>
        <w:tabs>
          <w:tab w:val="num" w:pos="643"/>
        </w:tabs>
        <w:ind w:left="643" w:hanging="360"/>
      </w:pPr>
      <w:rPr>
        <w:rFonts w:hint="default" w:ascii="Symbol" w:hAnsi="Symbol"/>
      </w:rPr>
    </w:lvl>
  </w:abstractNum>
  <w:abstractNum w:abstractNumId="8" w15:restartNumberingAfterBreak="0">
    <w:nsid w:val="FFFFFF88"/>
    <w:multiLevelType w:val="singleLevel"/>
    <w:tmpl w:val="D488150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E43140"/>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38C30BB"/>
    <w:multiLevelType w:val="multilevel"/>
    <w:tmpl w:val="E67CE66C"/>
    <w:styleLink w:val="StyleNumberedLeft0cmHanging075cm"/>
    <w:lvl w:ilvl="0">
      <w:start w:val="1"/>
      <w:numFmt w:val="decimal"/>
      <w:pStyle w:val="ListParagraph"/>
      <w:lvlText w:val="%1."/>
      <w:lvlJc w:val="left"/>
      <w:pPr>
        <w:ind w:left="360" w:hanging="360"/>
      </w:pPr>
      <w:rPr>
        <w:rFonts w:ascii="Arial" w:hAnsi="Arial"/>
        <w:color w:val="000000"/>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3CF5C54"/>
    <w:multiLevelType w:val="multilevel"/>
    <w:tmpl w:val="43D6D2FA"/>
    <w:styleLink w:val="StyleBulletedSymbolsymbolLeft063cmHanging063cm"/>
    <w:lvl w:ilvl="0">
      <w:start w:val="1"/>
      <w:numFmt w:val="bullet"/>
      <w:lvlText w:val=""/>
      <w:lvlJc w:val="left"/>
      <w:pPr>
        <w:ind w:left="720" w:hanging="360"/>
      </w:pPr>
      <w:rPr>
        <w:rFonts w:ascii="Symbol" w:hAnsi="Symbo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49C05EF"/>
    <w:multiLevelType w:val="multilevel"/>
    <w:tmpl w:val="43D6D2FA"/>
    <w:numStyleLink w:val="StyleBulletedSymbolsymbolLeft063cmHanging063cm"/>
  </w:abstractNum>
  <w:abstractNum w:abstractNumId="13" w15:restartNumberingAfterBreak="0">
    <w:nsid w:val="092922A7"/>
    <w:multiLevelType w:val="hybridMultilevel"/>
    <w:tmpl w:val="2B26D4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0A731236"/>
    <w:multiLevelType w:val="multilevel"/>
    <w:tmpl w:val="1700ACF6"/>
    <w:lvl w:ilvl="0">
      <w:start w:val="1"/>
      <w:numFmt w:val="decimal"/>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EFE3CBC"/>
    <w:multiLevelType w:val="hybridMultilevel"/>
    <w:tmpl w:val="8BD022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0980FC5"/>
    <w:multiLevelType w:val="hybridMultilevel"/>
    <w:tmpl w:val="5B36B17E"/>
    <w:lvl w:ilvl="0" w:tplc="AFA25F0A">
      <w:start w:val="1"/>
      <w:numFmt w:val="bullet"/>
      <w:pStyle w:val="Bulletpoints"/>
      <w:lvlText w:val=""/>
      <w:lvlJc w:val="left"/>
      <w:pPr>
        <w:ind w:left="1080" w:hanging="360"/>
      </w:pPr>
      <w:rPr>
        <w:rFonts w:hint="default" w:ascii="Symbol" w:hAnsi="Symbol"/>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2263A6A"/>
    <w:multiLevelType w:val="multilevel"/>
    <w:tmpl w:val="43D6D2FA"/>
    <w:numStyleLink w:val="StyleBulletedSymbolsymbolLeft063cmHanging063cm"/>
  </w:abstractNum>
  <w:abstractNum w:abstractNumId="18" w15:restartNumberingAfterBreak="0">
    <w:nsid w:val="2C0A3AC3"/>
    <w:multiLevelType w:val="hybridMultilevel"/>
    <w:tmpl w:val="2B326A2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E3586B"/>
    <w:multiLevelType w:val="hybridMultilevel"/>
    <w:tmpl w:val="88CA416C"/>
    <w:lvl w:ilvl="0" w:tplc="0DDAB9E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B0B4923"/>
    <w:multiLevelType w:val="hybridMultilevel"/>
    <w:tmpl w:val="2D8835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0343E22"/>
    <w:multiLevelType w:val="hybridMultilevel"/>
    <w:tmpl w:val="3E3ABABA"/>
    <w:lvl w:ilvl="0" w:tplc="081A0C3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2027960"/>
    <w:multiLevelType w:val="hybridMultilevel"/>
    <w:tmpl w:val="501CC3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7F1004"/>
    <w:multiLevelType w:val="hybridMultilevel"/>
    <w:tmpl w:val="4E022B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12530E"/>
    <w:multiLevelType w:val="hybridMultilevel"/>
    <w:tmpl w:val="CEECF38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6764EAF"/>
    <w:multiLevelType w:val="hybridMultilevel"/>
    <w:tmpl w:val="AB625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D8F2C59"/>
    <w:multiLevelType w:val="hybridMultilevel"/>
    <w:tmpl w:val="396C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6565907"/>
    <w:multiLevelType w:val="hybridMultilevel"/>
    <w:tmpl w:val="55949A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5ABA5FD8"/>
    <w:multiLevelType w:val="multilevel"/>
    <w:tmpl w:val="43D6D2FA"/>
    <w:numStyleLink w:val="StyleBulletedSymbolsymbolLeft063cmHanging063cm"/>
  </w:abstractNum>
  <w:abstractNum w:abstractNumId="29" w15:restartNumberingAfterBreak="0">
    <w:nsid w:val="5C7E19E2"/>
    <w:multiLevelType w:val="hybridMultilevel"/>
    <w:tmpl w:val="3146A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A22831"/>
    <w:multiLevelType w:val="multilevel"/>
    <w:tmpl w:val="43D6D2FA"/>
    <w:numStyleLink w:val="StyleBulletedSymbolsymbolLeft063cmHanging063cm"/>
  </w:abstractNum>
  <w:abstractNum w:abstractNumId="31" w15:restartNumberingAfterBreak="0">
    <w:nsid w:val="6A9F2B3C"/>
    <w:multiLevelType w:val="multilevel"/>
    <w:tmpl w:val="4C5820D8"/>
    <w:lvl w:ilvl="0">
      <w:start w:val="1"/>
      <w:numFmt w:val="decimal"/>
      <w:pStyle w:val="Numberedlist"/>
      <w:lvlText w:val="%1."/>
      <w:lvlJc w:val="left"/>
      <w:pPr>
        <w:ind w:left="720" w:hanging="360"/>
      </w:pPr>
      <w:rPr>
        <w:rFonts w:ascii="Arial" w:hAnsi="Arial"/>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B1550E4"/>
    <w:multiLevelType w:val="hybridMultilevel"/>
    <w:tmpl w:val="DD86F5EA"/>
    <w:lvl w:ilvl="0" w:tplc="08090001">
      <w:start w:val="1"/>
      <w:numFmt w:val="bullet"/>
      <w:lvlText w:val=""/>
      <w:lvlJc w:val="left"/>
      <w:pPr>
        <w:ind w:left="1080" w:hanging="72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6C6539BA"/>
    <w:multiLevelType w:val="hybridMultilevel"/>
    <w:tmpl w:val="C1CC390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FD16223"/>
    <w:multiLevelType w:val="hybridMultilevel"/>
    <w:tmpl w:val="E67CE66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98365C6"/>
    <w:multiLevelType w:val="multilevel"/>
    <w:tmpl w:val="E67CE66C"/>
    <w:numStyleLink w:val="StyleNumberedLeft0cmHanging075cm"/>
  </w:abstractNum>
  <w:abstractNum w:abstractNumId="36" w15:restartNumberingAfterBreak="0">
    <w:nsid w:val="7F052A5D"/>
    <w:multiLevelType w:val="hybridMultilevel"/>
    <w:tmpl w:val="BBE49E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6299310">
    <w:abstractNumId w:val="27"/>
  </w:num>
  <w:num w:numId="2" w16cid:durableId="643705505">
    <w:abstractNumId w:val="32"/>
  </w:num>
  <w:num w:numId="3" w16cid:durableId="1284848424">
    <w:abstractNumId w:val="24"/>
  </w:num>
  <w:num w:numId="4" w16cid:durableId="578908713">
    <w:abstractNumId w:val="18"/>
  </w:num>
  <w:num w:numId="5" w16cid:durableId="54470100">
    <w:abstractNumId w:val="29"/>
  </w:num>
  <w:num w:numId="6" w16cid:durableId="694158268">
    <w:abstractNumId w:val="34"/>
  </w:num>
  <w:num w:numId="7" w16cid:durableId="647516062">
    <w:abstractNumId w:val="23"/>
  </w:num>
  <w:num w:numId="8" w16cid:durableId="1160539719">
    <w:abstractNumId w:val="20"/>
  </w:num>
  <w:num w:numId="9" w16cid:durableId="1862670074">
    <w:abstractNumId w:val="13"/>
  </w:num>
  <w:num w:numId="10" w16cid:durableId="948585193">
    <w:abstractNumId w:val="15"/>
  </w:num>
  <w:num w:numId="11" w16cid:durableId="718482766">
    <w:abstractNumId w:val="26"/>
  </w:num>
  <w:num w:numId="12" w16cid:durableId="164051272">
    <w:abstractNumId w:val="25"/>
  </w:num>
  <w:num w:numId="13" w16cid:durableId="1450854030">
    <w:abstractNumId w:val="10"/>
  </w:num>
  <w:num w:numId="14" w16cid:durableId="373359476">
    <w:abstractNumId w:val="35"/>
  </w:num>
  <w:num w:numId="15" w16cid:durableId="1009412161">
    <w:abstractNumId w:val="16"/>
  </w:num>
  <w:num w:numId="16" w16cid:durableId="2041280933">
    <w:abstractNumId w:val="11"/>
  </w:num>
  <w:num w:numId="17" w16cid:durableId="471220593">
    <w:abstractNumId w:val="28"/>
  </w:num>
  <w:num w:numId="18" w16cid:durableId="1031035851">
    <w:abstractNumId w:val="12"/>
  </w:num>
  <w:num w:numId="19" w16cid:durableId="1402945545">
    <w:abstractNumId w:val="30"/>
  </w:num>
  <w:num w:numId="20" w16cid:durableId="1667248783">
    <w:abstractNumId w:val="17"/>
  </w:num>
  <w:num w:numId="21" w16cid:durableId="1353453069">
    <w:abstractNumId w:val="21"/>
  </w:num>
  <w:num w:numId="22" w16cid:durableId="592667723">
    <w:abstractNumId w:val="14"/>
  </w:num>
  <w:num w:numId="23" w16cid:durableId="37707020">
    <w:abstractNumId w:val="31"/>
  </w:num>
  <w:num w:numId="24" w16cid:durableId="162087179">
    <w:abstractNumId w:val="9"/>
  </w:num>
  <w:num w:numId="25" w16cid:durableId="1955359617">
    <w:abstractNumId w:val="8"/>
  </w:num>
  <w:num w:numId="26" w16cid:durableId="2025740696">
    <w:abstractNumId w:val="7"/>
  </w:num>
  <w:num w:numId="27" w16cid:durableId="439375354">
    <w:abstractNumId w:val="6"/>
  </w:num>
  <w:num w:numId="28" w16cid:durableId="2034837902">
    <w:abstractNumId w:val="5"/>
  </w:num>
  <w:num w:numId="29" w16cid:durableId="765544091">
    <w:abstractNumId w:val="4"/>
  </w:num>
  <w:num w:numId="30" w16cid:durableId="1249462447">
    <w:abstractNumId w:val="3"/>
  </w:num>
  <w:num w:numId="31" w16cid:durableId="790055611">
    <w:abstractNumId w:val="2"/>
  </w:num>
  <w:num w:numId="32" w16cid:durableId="913585048">
    <w:abstractNumId w:val="1"/>
  </w:num>
  <w:num w:numId="33" w16cid:durableId="1728189480">
    <w:abstractNumId w:val="0"/>
  </w:num>
  <w:num w:numId="34" w16cid:durableId="1370304610">
    <w:abstractNumId w:val="33"/>
  </w:num>
  <w:num w:numId="35" w16cid:durableId="1152941978">
    <w:abstractNumId w:val="19"/>
  </w:num>
  <w:num w:numId="36" w16cid:durableId="2006741231">
    <w:abstractNumId w:val="22"/>
  </w:num>
  <w:num w:numId="37" w16cid:durableId="102040347">
    <w:abstractNumId w:val="35"/>
    <w:lvlOverride w:ilvl="0">
      <w:lvl w:ilvl="0">
        <w:start w:val="1"/>
        <w:numFmt w:val="decimal"/>
        <w:pStyle w:val="ListParagraph"/>
        <w:lvlText w:val="%1."/>
        <w:lvlJc w:val="left"/>
        <w:pPr>
          <w:ind w:left="360" w:hanging="360"/>
        </w:pPr>
        <w:rPr>
          <w:rFonts w:ascii="Arial" w:hAnsi="Arial"/>
          <w:b w:val="0"/>
          <w:bCs/>
          <w:i w:val="0"/>
          <w:iCs/>
          <w:color w:val="000000"/>
          <w:sz w:val="24"/>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start w:val="1"/>
        <w:numFmt w:val="lowerLetter"/>
        <w:lvlText w:val="%5."/>
        <w:lvlJc w:val="left"/>
        <w:pPr>
          <w:ind w:left="3240" w:hanging="360"/>
        </w:pPr>
      </w:lvl>
    </w:lvlOverride>
    <w:lvlOverride w:ilvl="5">
      <w:lvl w:ilvl="5">
        <w:start w:val="1"/>
        <w:numFmt w:val="lowerRoman"/>
        <w:lvlText w:val="%6."/>
        <w:lvlJc w:val="right"/>
        <w:pPr>
          <w:ind w:left="3960" w:hanging="180"/>
        </w:pPr>
      </w:lvl>
    </w:lvlOverride>
    <w:lvlOverride w:ilvl="6">
      <w:lvl w:ilvl="6">
        <w:start w:val="1"/>
        <w:numFmt w:val="decimal"/>
        <w:lvlText w:val="%7."/>
        <w:lvlJc w:val="left"/>
        <w:pPr>
          <w:ind w:left="4680" w:hanging="360"/>
        </w:pPr>
      </w:lvl>
    </w:lvlOverride>
    <w:lvlOverride w:ilvl="7">
      <w:lvl w:ilvl="7">
        <w:start w:val="1"/>
        <w:numFmt w:val="lowerLetter"/>
        <w:lvlText w:val="%8."/>
        <w:lvlJc w:val="left"/>
        <w:pPr>
          <w:ind w:left="5400" w:hanging="360"/>
        </w:pPr>
      </w:lvl>
    </w:lvlOverride>
    <w:lvlOverride w:ilvl="8">
      <w:lvl w:ilvl="8">
        <w:start w:val="1"/>
        <w:numFmt w:val="lowerRoman"/>
        <w:lvlText w:val="%9."/>
        <w:lvlJc w:val="right"/>
        <w:pPr>
          <w:ind w:left="6120" w:hanging="180"/>
        </w:pPr>
      </w:lvl>
    </w:lvlOverride>
  </w:num>
  <w:num w:numId="38" w16cid:durableId="1114137434">
    <w:abstractNumId w:val="35"/>
    <w:lvlOverride w:ilvl="0">
      <w:startOverride w:val="1"/>
      <w:lvl w:ilvl="0">
        <w:start w:val="1"/>
        <w:numFmt w:val="decimal"/>
        <w:pStyle w:val="ListParagraph"/>
        <w:lvlText w:val="%1."/>
        <w:lvlJc w:val="left"/>
        <w:pPr>
          <w:ind w:left="360" w:hanging="360"/>
        </w:pPr>
        <w:rPr>
          <w:rFonts w:ascii="Arial" w:hAnsi="Arial"/>
          <w:color w:val="000000"/>
          <w:sz w:val="24"/>
        </w:rPr>
      </w:lvl>
    </w:lvlOverride>
    <w:lvlOverride w:ilvl="1">
      <w:startOverride w:val="1"/>
      <w:lvl w:ilvl="1">
        <w:start w:val="1"/>
        <w:numFmt w:val="lowerLetter"/>
        <w:lvlText w:val="%2."/>
        <w:lvlJc w:val="left"/>
        <w:pPr>
          <w:ind w:left="1080" w:hanging="360"/>
        </w:pPr>
      </w:lvl>
    </w:lvlOverride>
    <w:lvlOverride w:ilvl="2">
      <w:startOverride w:val="1"/>
      <w:lvl w:ilvl="2">
        <w:start w:val="1"/>
        <w:numFmt w:val="lowerRoman"/>
        <w:lvlText w:val="%3."/>
        <w:lvlJc w:val="right"/>
        <w:pPr>
          <w:ind w:left="1800" w:hanging="180"/>
        </w:pPr>
      </w:lvl>
    </w:lvlOverride>
    <w:lvlOverride w:ilvl="3">
      <w:startOverride w:val="1"/>
      <w:lvl w:ilvl="3">
        <w:start w:val="1"/>
        <w:numFmt w:val="decimal"/>
        <w:lvlText w:val="%4."/>
        <w:lvlJc w:val="left"/>
        <w:pPr>
          <w:ind w:left="2520" w:hanging="360"/>
        </w:pPr>
      </w:lvl>
    </w:lvlOverride>
    <w:lvlOverride w:ilvl="4">
      <w:startOverride w:val="1"/>
      <w:lvl w:ilvl="4">
        <w:start w:val="1"/>
        <w:numFmt w:val="lowerLetter"/>
        <w:lvlText w:val="%5."/>
        <w:lvlJc w:val="left"/>
        <w:pPr>
          <w:ind w:left="3240" w:hanging="360"/>
        </w:pPr>
      </w:lvl>
    </w:lvlOverride>
    <w:lvlOverride w:ilvl="5">
      <w:startOverride w:val="1"/>
      <w:lvl w:ilvl="5">
        <w:start w:val="1"/>
        <w:numFmt w:val="lowerRoman"/>
        <w:lvlText w:val="%6."/>
        <w:lvlJc w:val="right"/>
        <w:pPr>
          <w:ind w:left="3960" w:hanging="180"/>
        </w:pPr>
      </w:lvl>
    </w:lvlOverride>
    <w:lvlOverride w:ilvl="6">
      <w:startOverride w:val="1"/>
      <w:lvl w:ilvl="6">
        <w:start w:val="1"/>
        <w:numFmt w:val="decimal"/>
        <w:lvlText w:val="%7."/>
        <w:lvlJc w:val="left"/>
        <w:pPr>
          <w:ind w:left="4680" w:hanging="360"/>
        </w:pPr>
      </w:lvl>
    </w:lvlOverride>
    <w:lvlOverride w:ilvl="7">
      <w:startOverride w:val="1"/>
      <w:lvl w:ilvl="7">
        <w:start w:val="1"/>
        <w:numFmt w:val="lowerLetter"/>
        <w:lvlText w:val="%8."/>
        <w:lvlJc w:val="left"/>
        <w:pPr>
          <w:ind w:left="5400" w:hanging="360"/>
        </w:pPr>
      </w:lvl>
    </w:lvlOverride>
    <w:lvlOverride w:ilvl="8">
      <w:startOverride w:val="1"/>
      <w:lvl w:ilvl="8">
        <w:start w:val="1"/>
        <w:numFmt w:val="lowerRoman"/>
        <w:lvlText w:val="%9."/>
        <w:lvlJc w:val="right"/>
        <w:pPr>
          <w:ind w:left="6120" w:hanging="180"/>
        </w:pPr>
      </w:lvl>
    </w:lvlOverride>
  </w:num>
  <w:num w:numId="39" w16cid:durableId="50293914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55606209">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B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1"/>
  <w:stylePaneSortMethod w:val="0000"/>
  <w:trackRevisions w:val="false"/>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3B71"/>
    <w:rsid w:val="000117D4"/>
    <w:rsid w:val="00013B13"/>
    <w:rsid w:val="00025250"/>
    <w:rsid w:val="000314D7"/>
    <w:rsid w:val="00034054"/>
    <w:rsid w:val="00045F8B"/>
    <w:rsid w:val="00046D2B"/>
    <w:rsid w:val="00056263"/>
    <w:rsid w:val="00064D8A"/>
    <w:rsid w:val="00064F82"/>
    <w:rsid w:val="00066510"/>
    <w:rsid w:val="00077523"/>
    <w:rsid w:val="000B1DFC"/>
    <w:rsid w:val="000C089F"/>
    <w:rsid w:val="000C3928"/>
    <w:rsid w:val="000C5E8E"/>
    <w:rsid w:val="000F24A7"/>
    <w:rsid w:val="000F4751"/>
    <w:rsid w:val="00100FB8"/>
    <w:rsid w:val="0010524C"/>
    <w:rsid w:val="00111FB1"/>
    <w:rsid w:val="00113418"/>
    <w:rsid w:val="001356F1"/>
    <w:rsid w:val="00136994"/>
    <w:rsid w:val="00136C49"/>
    <w:rsid w:val="0014128E"/>
    <w:rsid w:val="00151888"/>
    <w:rsid w:val="00154095"/>
    <w:rsid w:val="00170A2D"/>
    <w:rsid w:val="001808BC"/>
    <w:rsid w:val="00182B81"/>
    <w:rsid w:val="00185AF7"/>
    <w:rsid w:val="0018619D"/>
    <w:rsid w:val="001A011E"/>
    <w:rsid w:val="001A066A"/>
    <w:rsid w:val="001A13E6"/>
    <w:rsid w:val="001A5731"/>
    <w:rsid w:val="001B42C3"/>
    <w:rsid w:val="001C5D5E"/>
    <w:rsid w:val="001D678D"/>
    <w:rsid w:val="001E03F8"/>
    <w:rsid w:val="001E1678"/>
    <w:rsid w:val="001E3376"/>
    <w:rsid w:val="002069B3"/>
    <w:rsid w:val="002312EA"/>
    <w:rsid w:val="002329CF"/>
    <w:rsid w:val="00232F5B"/>
    <w:rsid w:val="00233017"/>
    <w:rsid w:val="00240FA4"/>
    <w:rsid w:val="00247C29"/>
    <w:rsid w:val="00255D35"/>
    <w:rsid w:val="00260467"/>
    <w:rsid w:val="00263EA3"/>
    <w:rsid w:val="002720BD"/>
    <w:rsid w:val="00272CC4"/>
    <w:rsid w:val="00284F85"/>
    <w:rsid w:val="002870C3"/>
    <w:rsid w:val="00290915"/>
    <w:rsid w:val="002A22E2"/>
    <w:rsid w:val="002B6836"/>
    <w:rsid w:val="002C0D1F"/>
    <w:rsid w:val="002C64F7"/>
    <w:rsid w:val="002D57E2"/>
    <w:rsid w:val="002F41F2"/>
    <w:rsid w:val="002F6805"/>
    <w:rsid w:val="00301BF3"/>
    <w:rsid w:val="0030208D"/>
    <w:rsid w:val="00321A92"/>
    <w:rsid w:val="00323418"/>
    <w:rsid w:val="003357BF"/>
    <w:rsid w:val="00341A8A"/>
    <w:rsid w:val="00364FAD"/>
    <w:rsid w:val="0036738F"/>
    <w:rsid w:val="0036759C"/>
    <w:rsid w:val="00367AE5"/>
    <w:rsid w:val="00367D62"/>
    <w:rsid w:val="00367D71"/>
    <w:rsid w:val="0038150A"/>
    <w:rsid w:val="003B6E75"/>
    <w:rsid w:val="003B7DA1"/>
    <w:rsid w:val="003C71A0"/>
    <w:rsid w:val="003D0379"/>
    <w:rsid w:val="003D2574"/>
    <w:rsid w:val="003D4C59"/>
    <w:rsid w:val="003E4035"/>
    <w:rsid w:val="003F4267"/>
    <w:rsid w:val="00404032"/>
    <w:rsid w:val="0040736F"/>
    <w:rsid w:val="00412C1F"/>
    <w:rsid w:val="00421CB2"/>
    <w:rsid w:val="004268B9"/>
    <w:rsid w:val="00433B96"/>
    <w:rsid w:val="004440F1"/>
    <w:rsid w:val="004456DD"/>
    <w:rsid w:val="00446CDF"/>
    <w:rsid w:val="004521B7"/>
    <w:rsid w:val="004548E0"/>
    <w:rsid w:val="00462AB5"/>
    <w:rsid w:val="00462D22"/>
    <w:rsid w:val="00465EAF"/>
    <w:rsid w:val="004738C5"/>
    <w:rsid w:val="004739F7"/>
    <w:rsid w:val="0047737B"/>
    <w:rsid w:val="00491046"/>
    <w:rsid w:val="0049473C"/>
    <w:rsid w:val="00496078"/>
    <w:rsid w:val="004A2AC7"/>
    <w:rsid w:val="004A6D2F"/>
    <w:rsid w:val="004B11AE"/>
    <w:rsid w:val="004C2887"/>
    <w:rsid w:val="004D2626"/>
    <w:rsid w:val="004D6E26"/>
    <w:rsid w:val="004D77D3"/>
    <w:rsid w:val="004E2959"/>
    <w:rsid w:val="004E7B40"/>
    <w:rsid w:val="004F20EF"/>
    <w:rsid w:val="0050321C"/>
    <w:rsid w:val="00507ECC"/>
    <w:rsid w:val="00522494"/>
    <w:rsid w:val="0053335E"/>
    <w:rsid w:val="0054712D"/>
    <w:rsid w:val="00547EF6"/>
    <w:rsid w:val="005570B5"/>
    <w:rsid w:val="005609F0"/>
    <w:rsid w:val="00567E18"/>
    <w:rsid w:val="00575F5F"/>
    <w:rsid w:val="00581805"/>
    <w:rsid w:val="00585F76"/>
    <w:rsid w:val="005A34E4"/>
    <w:rsid w:val="005A6610"/>
    <w:rsid w:val="005B17F2"/>
    <w:rsid w:val="005B7FB0"/>
    <w:rsid w:val="005C35A5"/>
    <w:rsid w:val="005C577C"/>
    <w:rsid w:val="005D0621"/>
    <w:rsid w:val="005D1E27"/>
    <w:rsid w:val="005D2A3E"/>
    <w:rsid w:val="005E022E"/>
    <w:rsid w:val="005E5215"/>
    <w:rsid w:val="005F7F7E"/>
    <w:rsid w:val="00614693"/>
    <w:rsid w:val="00623C2F"/>
    <w:rsid w:val="00633578"/>
    <w:rsid w:val="00635488"/>
    <w:rsid w:val="00637068"/>
    <w:rsid w:val="006419CA"/>
    <w:rsid w:val="00650811"/>
    <w:rsid w:val="00655339"/>
    <w:rsid w:val="00661D3E"/>
    <w:rsid w:val="00664565"/>
    <w:rsid w:val="00687418"/>
    <w:rsid w:val="00692627"/>
    <w:rsid w:val="006969E7"/>
    <w:rsid w:val="006A3643"/>
    <w:rsid w:val="006B10C2"/>
    <w:rsid w:val="006C2A29"/>
    <w:rsid w:val="006C64CF"/>
    <w:rsid w:val="006D17B1"/>
    <w:rsid w:val="006D4752"/>
    <w:rsid w:val="006D708A"/>
    <w:rsid w:val="006D781F"/>
    <w:rsid w:val="006E14C1"/>
    <w:rsid w:val="006F0292"/>
    <w:rsid w:val="006F27FA"/>
    <w:rsid w:val="006F416B"/>
    <w:rsid w:val="006F519B"/>
    <w:rsid w:val="00704029"/>
    <w:rsid w:val="00707853"/>
    <w:rsid w:val="00713675"/>
    <w:rsid w:val="00715823"/>
    <w:rsid w:val="0072449C"/>
    <w:rsid w:val="007253EF"/>
    <w:rsid w:val="00734823"/>
    <w:rsid w:val="00737B93"/>
    <w:rsid w:val="00745BF0"/>
    <w:rsid w:val="00751EA3"/>
    <w:rsid w:val="00752A1C"/>
    <w:rsid w:val="007615FE"/>
    <w:rsid w:val="0076655C"/>
    <w:rsid w:val="00773B53"/>
    <w:rsid w:val="007742DC"/>
    <w:rsid w:val="00791437"/>
    <w:rsid w:val="007A1A0C"/>
    <w:rsid w:val="007B0C2C"/>
    <w:rsid w:val="007B278E"/>
    <w:rsid w:val="007B5CA2"/>
    <w:rsid w:val="007C5C23"/>
    <w:rsid w:val="007E0D5E"/>
    <w:rsid w:val="007E2A26"/>
    <w:rsid w:val="007F2348"/>
    <w:rsid w:val="007F42DF"/>
    <w:rsid w:val="007F4757"/>
    <w:rsid w:val="008008D5"/>
    <w:rsid w:val="00803F07"/>
    <w:rsid w:val="0080749A"/>
    <w:rsid w:val="00821FB8"/>
    <w:rsid w:val="00822ACD"/>
    <w:rsid w:val="00851428"/>
    <w:rsid w:val="00855C66"/>
    <w:rsid w:val="008630D7"/>
    <w:rsid w:val="00871EE4"/>
    <w:rsid w:val="0087268F"/>
    <w:rsid w:val="0089109E"/>
    <w:rsid w:val="008935E7"/>
    <w:rsid w:val="008954DF"/>
    <w:rsid w:val="008B293F"/>
    <w:rsid w:val="008B7371"/>
    <w:rsid w:val="008C1440"/>
    <w:rsid w:val="008D3DDB"/>
    <w:rsid w:val="008E5678"/>
    <w:rsid w:val="008F3B04"/>
    <w:rsid w:val="008F573F"/>
    <w:rsid w:val="009034EC"/>
    <w:rsid w:val="00903D43"/>
    <w:rsid w:val="0092502D"/>
    <w:rsid w:val="0093067A"/>
    <w:rsid w:val="00941C60"/>
    <w:rsid w:val="00941FD1"/>
    <w:rsid w:val="00950824"/>
    <w:rsid w:val="0095326B"/>
    <w:rsid w:val="00966D42"/>
    <w:rsid w:val="00971689"/>
    <w:rsid w:val="0097170F"/>
    <w:rsid w:val="00973E90"/>
    <w:rsid w:val="00975B07"/>
    <w:rsid w:val="00980B4A"/>
    <w:rsid w:val="009A7A72"/>
    <w:rsid w:val="009B3E8A"/>
    <w:rsid w:val="009E30E2"/>
    <w:rsid w:val="009E35B6"/>
    <w:rsid w:val="009E3D0A"/>
    <w:rsid w:val="009E51FC"/>
    <w:rsid w:val="009F1D28"/>
    <w:rsid w:val="009F7618"/>
    <w:rsid w:val="00A04D23"/>
    <w:rsid w:val="00A06766"/>
    <w:rsid w:val="00A13765"/>
    <w:rsid w:val="00A21B12"/>
    <w:rsid w:val="00A23F80"/>
    <w:rsid w:val="00A46E98"/>
    <w:rsid w:val="00A6352B"/>
    <w:rsid w:val="00A701B5"/>
    <w:rsid w:val="00A714BB"/>
    <w:rsid w:val="00A75677"/>
    <w:rsid w:val="00A77147"/>
    <w:rsid w:val="00A92D8F"/>
    <w:rsid w:val="00AB2988"/>
    <w:rsid w:val="00AB374D"/>
    <w:rsid w:val="00AB7999"/>
    <w:rsid w:val="00AD3292"/>
    <w:rsid w:val="00AD6C5D"/>
    <w:rsid w:val="00AE1112"/>
    <w:rsid w:val="00AE1684"/>
    <w:rsid w:val="00AE7AF0"/>
    <w:rsid w:val="00B12D55"/>
    <w:rsid w:val="00B24650"/>
    <w:rsid w:val="00B500CA"/>
    <w:rsid w:val="00B7634F"/>
    <w:rsid w:val="00B86314"/>
    <w:rsid w:val="00B91120"/>
    <w:rsid w:val="00B94FF2"/>
    <w:rsid w:val="00BA1C2E"/>
    <w:rsid w:val="00BA37B1"/>
    <w:rsid w:val="00BC200B"/>
    <w:rsid w:val="00BC4756"/>
    <w:rsid w:val="00BC69A4"/>
    <w:rsid w:val="00BD6181"/>
    <w:rsid w:val="00BE0680"/>
    <w:rsid w:val="00BE305F"/>
    <w:rsid w:val="00BE7BA3"/>
    <w:rsid w:val="00BF5682"/>
    <w:rsid w:val="00BF7B09"/>
    <w:rsid w:val="00C05260"/>
    <w:rsid w:val="00C076B9"/>
    <w:rsid w:val="00C122D8"/>
    <w:rsid w:val="00C16B47"/>
    <w:rsid w:val="00C20A95"/>
    <w:rsid w:val="00C21E30"/>
    <w:rsid w:val="00C2692F"/>
    <w:rsid w:val="00C3207C"/>
    <w:rsid w:val="00C400E1"/>
    <w:rsid w:val="00C41187"/>
    <w:rsid w:val="00C63C31"/>
    <w:rsid w:val="00C757A0"/>
    <w:rsid w:val="00C760DE"/>
    <w:rsid w:val="00C82630"/>
    <w:rsid w:val="00C85B4E"/>
    <w:rsid w:val="00C907F7"/>
    <w:rsid w:val="00CA2103"/>
    <w:rsid w:val="00CA21E6"/>
    <w:rsid w:val="00CB21E8"/>
    <w:rsid w:val="00CB6B99"/>
    <w:rsid w:val="00CD33F0"/>
    <w:rsid w:val="00CE4C87"/>
    <w:rsid w:val="00CE544A"/>
    <w:rsid w:val="00CF3373"/>
    <w:rsid w:val="00D11E1C"/>
    <w:rsid w:val="00D160B0"/>
    <w:rsid w:val="00D17F94"/>
    <w:rsid w:val="00D223FC"/>
    <w:rsid w:val="00D269FC"/>
    <w:rsid w:val="00D26D1E"/>
    <w:rsid w:val="00D474CF"/>
    <w:rsid w:val="00D505EC"/>
    <w:rsid w:val="00D526A7"/>
    <w:rsid w:val="00D5547E"/>
    <w:rsid w:val="00D860E2"/>
    <w:rsid w:val="00D869A1"/>
    <w:rsid w:val="00DA3BC3"/>
    <w:rsid w:val="00DA413F"/>
    <w:rsid w:val="00DA4584"/>
    <w:rsid w:val="00DA614B"/>
    <w:rsid w:val="00DB345C"/>
    <w:rsid w:val="00DB54C3"/>
    <w:rsid w:val="00DB7AD7"/>
    <w:rsid w:val="00DC300F"/>
    <w:rsid w:val="00DC3060"/>
    <w:rsid w:val="00DE0FB2"/>
    <w:rsid w:val="00DF093E"/>
    <w:rsid w:val="00DF6AE1"/>
    <w:rsid w:val="00E01F42"/>
    <w:rsid w:val="00E166F4"/>
    <w:rsid w:val="00E206D6"/>
    <w:rsid w:val="00E26E10"/>
    <w:rsid w:val="00E3366E"/>
    <w:rsid w:val="00E367B1"/>
    <w:rsid w:val="00E52086"/>
    <w:rsid w:val="00E543A6"/>
    <w:rsid w:val="00E60479"/>
    <w:rsid w:val="00E61D73"/>
    <w:rsid w:val="00E63673"/>
    <w:rsid w:val="00E63919"/>
    <w:rsid w:val="00E73684"/>
    <w:rsid w:val="00E75B0B"/>
    <w:rsid w:val="00E818D6"/>
    <w:rsid w:val="00E87F7A"/>
    <w:rsid w:val="00E94B3E"/>
    <w:rsid w:val="00E96BD7"/>
    <w:rsid w:val="00EA0DB1"/>
    <w:rsid w:val="00EA0EE9"/>
    <w:rsid w:val="00EA4A5F"/>
    <w:rsid w:val="00EA55A6"/>
    <w:rsid w:val="00EB5E23"/>
    <w:rsid w:val="00ED52CA"/>
    <w:rsid w:val="00ED5860"/>
    <w:rsid w:val="00EE35C9"/>
    <w:rsid w:val="00EE4434"/>
    <w:rsid w:val="00F05ECA"/>
    <w:rsid w:val="00F26E21"/>
    <w:rsid w:val="00F3566E"/>
    <w:rsid w:val="00F375FB"/>
    <w:rsid w:val="00F41AC1"/>
    <w:rsid w:val="00F4367A"/>
    <w:rsid w:val="00F445B1"/>
    <w:rsid w:val="00F45CD4"/>
    <w:rsid w:val="00F66DCA"/>
    <w:rsid w:val="00F71D37"/>
    <w:rsid w:val="00F74F53"/>
    <w:rsid w:val="00F7606D"/>
    <w:rsid w:val="00F81670"/>
    <w:rsid w:val="00F82024"/>
    <w:rsid w:val="00F865A3"/>
    <w:rsid w:val="00F95BC9"/>
    <w:rsid w:val="00FA624C"/>
    <w:rsid w:val="00FB3B71"/>
    <w:rsid w:val="00FD0C3E"/>
    <w:rsid w:val="00FD0FAC"/>
    <w:rsid w:val="00FD1DFA"/>
    <w:rsid w:val="00FD4966"/>
    <w:rsid w:val="00FE57DC"/>
    <w:rsid w:val="00FF095A"/>
    <w:rsid w:val="05B94C3D"/>
    <w:rsid w:val="07D434D5"/>
    <w:rsid w:val="0AEAD29A"/>
    <w:rsid w:val="0B89A7FD"/>
    <w:rsid w:val="0E137018"/>
    <w:rsid w:val="0ECD8498"/>
    <w:rsid w:val="0FB9297F"/>
    <w:rsid w:val="11DE2519"/>
    <w:rsid w:val="150E6135"/>
    <w:rsid w:val="16C788FA"/>
    <w:rsid w:val="187CEEE6"/>
    <w:rsid w:val="18B12936"/>
    <w:rsid w:val="1BC0B843"/>
    <w:rsid w:val="1BDE6ACD"/>
    <w:rsid w:val="1C62DB68"/>
    <w:rsid w:val="1D538C83"/>
    <w:rsid w:val="1E2AA5CE"/>
    <w:rsid w:val="1FD1952E"/>
    <w:rsid w:val="22F0553C"/>
    <w:rsid w:val="238A6E87"/>
    <w:rsid w:val="24AA93AA"/>
    <w:rsid w:val="25C8DF4C"/>
    <w:rsid w:val="270568D7"/>
    <w:rsid w:val="27395084"/>
    <w:rsid w:val="278ACBEA"/>
    <w:rsid w:val="282C914F"/>
    <w:rsid w:val="2875A525"/>
    <w:rsid w:val="29894939"/>
    <w:rsid w:val="29A263C4"/>
    <w:rsid w:val="2DC2B855"/>
    <w:rsid w:val="2FD27BA3"/>
    <w:rsid w:val="3323D874"/>
    <w:rsid w:val="33C8C2FF"/>
    <w:rsid w:val="34C5ADE6"/>
    <w:rsid w:val="34ECE2A5"/>
    <w:rsid w:val="35E68B5F"/>
    <w:rsid w:val="3742E73C"/>
    <w:rsid w:val="38C4BD77"/>
    <w:rsid w:val="3A028991"/>
    <w:rsid w:val="3A1580BC"/>
    <w:rsid w:val="3BB43EC8"/>
    <w:rsid w:val="3C9559B9"/>
    <w:rsid w:val="3D75EE1D"/>
    <w:rsid w:val="4165F553"/>
    <w:rsid w:val="422C1BED"/>
    <w:rsid w:val="431C3BF6"/>
    <w:rsid w:val="43F42839"/>
    <w:rsid w:val="47265693"/>
    <w:rsid w:val="49E0EE02"/>
    <w:rsid w:val="4DC9FD09"/>
    <w:rsid w:val="4DF06A9C"/>
    <w:rsid w:val="51049B70"/>
    <w:rsid w:val="52141FE7"/>
    <w:rsid w:val="530E7F80"/>
    <w:rsid w:val="53124442"/>
    <w:rsid w:val="54BD7E5A"/>
    <w:rsid w:val="55DFF37C"/>
    <w:rsid w:val="562DCFA1"/>
    <w:rsid w:val="571C62E4"/>
    <w:rsid w:val="58C16BAB"/>
    <w:rsid w:val="5C2301F2"/>
    <w:rsid w:val="5CD2A867"/>
    <w:rsid w:val="5D0EC0A9"/>
    <w:rsid w:val="5D6EE46E"/>
    <w:rsid w:val="5DE62121"/>
    <w:rsid w:val="5F46D787"/>
    <w:rsid w:val="60B35EF8"/>
    <w:rsid w:val="613D2893"/>
    <w:rsid w:val="62B73EE3"/>
    <w:rsid w:val="636BDC7A"/>
    <w:rsid w:val="66E6498C"/>
    <w:rsid w:val="6BFBC2A1"/>
    <w:rsid w:val="6ECA3545"/>
    <w:rsid w:val="70F8304B"/>
    <w:rsid w:val="7276546A"/>
    <w:rsid w:val="75E01BB2"/>
    <w:rsid w:val="76D8CABF"/>
    <w:rsid w:val="7F3A43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7421A9"/>
  <w15:docId w15:val="{ECEB6722-1515-48C3-A460-1C69298F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hAnsi="Arial"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qFormat="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585F76"/>
    <w:pPr>
      <w:spacing w:after="120"/>
    </w:pPr>
    <w:rPr>
      <w:color w:val="000000"/>
      <w:sz w:val="24"/>
      <w:szCs w:val="24"/>
    </w:rPr>
  </w:style>
  <w:style w:type="paragraph" w:styleId="Heading1">
    <w:name w:val="heading 1"/>
    <w:aliases w:val="aHeading"/>
    <w:basedOn w:val="Normal"/>
    <w:next w:val="Normal"/>
    <w:link w:val="Heading1Char"/>
    <w:qFormat/>
    <w:rsid w:val="002B6836"/>
    <w:pPr>
      <w:spacing w:before="240"/>
      <w:outlineLvl w:val="0"/>
    </w:pPr>
    <w:rPr>
      <w:b/>
    </w:rPr>
  </w:style>
  <w:style w:type="paragraph" w:styleId="Heading2">
    <w:name w:val="heading 2"/>
    <w:aliases w:val="Sub-heading"/>
    <w:basedOn w:val="Normal"/>
    <w:next w:val="Normal"/>
    <w:qFormat/>
    <w:rsid w:val="00F26E21"/>
    <w:pPr>
      <w:spacing w:before="120"/>
      <w:outlineLvl w:val="1"/>
    </w:pPr>
    <w:rPr>
      <w:u w:val="single"/>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rsid w:val="004A6D2F"/>
    <w:pPr>
      <w:tabs>
        <w:tab w:val="center" w:pos="4153"/>
        <w:tab w:val="right" w:pos="8306"/>
      </w:tabs>
    </w:pPr>
    <w:rPr>
      <w:sz w:val="18"/>
    </w:rPr>
  </w:style>
  <w:style w:type="paragraph" w:styleId="Footer">
    <w:name w:val="footer"/>
    <w:aliases w:val="zzFooter"/>
    <w:basedOn w:val="Normal"/>
    <w:link w:val="FooterChar"/>
    <w:uiPriority w:val="99"/>
    <w:rsid w:val="004A6D2F"/>
    <w:pPr>
      <w:tabs>
        <w:tab w:val="center" w:pos="4153"/>
        <w:tab w:val="right" w:pos="8306"/>
      </w:tabs>
    </w:pPr>
    <w:rPr>
      <w:sz w:val="18"/>
    </w:rPr>
  </w:style>
  <w:style w:type="paragraph" w:styleId="NormalWeb">
    <w:name w:val="Normal (Web)"/>
    <w:basedOn w:val="Normal"/>
    <w:pPr>
      <w:spacing w:before="100" w:beforeAutospacing="1" w:after="100" w:afterAutospacing="1"/>
    </w:pPr>
    <w:rPr>
      <w:rFonts w:ascii="Arial Unicode MS" w:hAnsi="Arial Unicode MS" w:eastAsia="Arial Unicode MS" w:cs="Arial Unicode M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alloonText">
    <w:name w:val="Balloon Text"/>
    <w:basedOn w:val="Normal"/>
    <w:semiHidden/>
    <w:rPr>
      <w:rFonts w:ascii="Tahoma" w:hAnsi="Tahoma" w:cs="Tahoma"/>
      <w:sz w:val="16"/>
      <w:szCs w:val="16"/>
    </w:rPr>
  </w:style>
  <w:style w:type="numbering" w:styleId="StyleBulletedSymbolsymbolLeft063cmHanging063cm" w:customStyle="1">
    <w:name w:val="Style Bulleted Symbol (symbol) Left:  0.63 cm Hanging:  0.63 cm"/>
    <w:basedOn w:val="NoList"/>
    <w:rsid w:val="00E818D6"/>
    <w:pPr>
      <w:numPr>
        <w:numId w:val="16"/>
      </w:numPr>
    </w:pPr>
  </w:style>
  <w:style w:type="character" w:styleId="PageNumber">
    <w:name w:val="page number"/>
    <w:rsid w:val="004A6D2F"/>
    <w:rPr>
      <w:rFonts w:ascii="Arial" w:hAnsi="Arial"/>
      <w:sz w:val="18"/>
    </w:rPr>
  </w:style>
  <w:style w:type="character" w:styleId="Hyperlink">
    <w:name w:val="Hyperlink"/>
    <w:aliases w:val="set Hyperlink"/>
    <w:uiPriority w:val="99"/>
    <w:qFormat/>
    <w:rsid w:val="003D2574"/>
    <w:rPr>
      <w:rFonts w:ascii="Arial" w:hAnsi="Arial"/>
      <w:color w:val="0000FF"/>
      <w:sz w:val="24"/>
      <w:u w:val="single"/>
    </w:rPr>
  </w:style>
  <w:style w:type="table" w:styleId="TableGrid">
    <w:name w:val="Table Grid"/>
    <w:basedOn w:val="TableNormal"/>
    <w:rsid w:val="001A066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rsid w:val="00E96BD7"/>
    <w:pPr>
      <w:spacing w:after="120"/>
    </w:pPr>
    <w:rPr>
      <w:color w:val="000000"/>
      <w:sz w:val="24"/>
      <w:szCs w:val="24"/>
      <w:lang w:eastAsia="en-US"/>
    </w:rPr>
  </w:style>
  <w:style w:type="paragraph" w:styleId="ListParagraph">
    <w:name w:val="List Paragraph"/>
    <w:basedOn w:val="Normal"/>
    <w:link w:val="ListParagraphChar"/>
    <w:uiPriority w:val="34"/>
    <w:qFormat/>
    <w:rsid w:val="005570B5"/>
    <w:pPr>
      <w:numPr>
        <w:numId w:val="14"/>
      </w:numPr>
      <w:tabs>
        <w:tab w:val="left" w:pos="426"/>
      </w:tabs>
    </w:pPr>
  </w:style>
  <w:style w:type="character" w:styleId="HeaderChar" w:customStyle="1">
    <w:name w:val="Header Char"/>
    <w:link w:val="Header"/>
    <w:uiPriority w:val="99"/>
    <w:rsid w:val="004A6D2F"/>
    <w:rPr>
      <w:rFonts w:ascii="Arial" w:hAnsi="Arial"/>
      <w:bCs/>
      <w:color w:val="000000"/>
      <w:sz w:val="18"/>
      <w:szCs w:val="24"/>
      <w:lang w:eastAsia="en-US"/>
    </w:rPr>
  </w:style>
  <w:style w:type="table" w:styleId="LightList-Accent2">
    <w:name w:val="Light List Accent 2"/>
    <w:basedOn w:val="TableNormal"/>
    <w:uiPriority w:val="61"/>
    <w:rsid w:val="00421CB2"/>
    <w:rPr>
      <w:rFonts w:eastAsia="Calibri" w:cs="Arial"/>
      <w:sz w:val="24"/>
      <w:szCs w:val="24"/>
      <w:lang w:eastAsia="en-US"/>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Shading-Accent2">
    <w:name w:val="Light Shading Accent 2"/>
    <w:basedOn w:val="TableNormal"/>
    <w:uiPriority w:val="60"/>
    <w:rsid w:val="00CB6B99"/>
    <w:rPr>
      <w:rFonts w:eastAsia="Calibri" w:cs="Arial"/>
      <w:color w:val="943634"/>
      <w:sz w:val="24"/>
      <w:szCs w:val="24"/>
      <w:lang w:eastAsia="en-US"/>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Revision">
    <w:name w:val="Revision"/>
    <w:hidden/>
    <w:uiPriority w:val="99"/>
    <w:semiHidden/>
    <w:rsid w:val="009034EC"/>
    <w:pPr>
      <w:spacing w:after="120"/>
    </w:pPr>
    <w:rPr>
      <w:color w:val="000000"/>
      <w:sz w:val="24"/>
      <w:szCs w:val="24"/>
      <w:lang w:eastAsia="en-US"/>
    </w:rPr>
  </w:style>
  <w:style w:type="paragraph" w:styleId="Tableandfigurecaption" w:customStyle="1">
    <w:name w:val="Table and figure caption"/>
    <w:basedOn w:val="Heading2"/>
    <w:rsid w:val="00692627"/>
    <w:pPr>
      <w:ind w:left="360"/>
    </w:pPr>
    <w:rPr>
      <w:bCs/>
      <w:szCs w:val="20"/>
    </w:rPr>
  </w:style>
  <w:style w:type="numbering" w:styleId="StyleNumberedLeft0cmHanging075cm" w:customStyle="1">
    <w:name w:val="Style Numbered Left:  0 cm Hanging:  0.75 cm"/>
    <w:basedOn w:val="NoList"/>
    <w:rsid w:val="00E818D6"/>
    <w:pPr>
      <w:numPr>
        <w:numId w:val="13"/>
      </w:numPr>
    </w:pPr>
  </w:style>
  <w:style w:type="paragraph" w:styleId="Bulletpoints" w:customStyle="1">
    <w:name w:val="Bullet points"/>
    <w:basedOn w:val="Normal"/>
    <w:link w:val="BulletpointsChar"/>
    <w:qFormat/>
    <w:rsid w:val="005570B5"/>
    <w:pPr>
      <w:numPr>
        <w:numId w:val="15"/>
      </w:numPr>
      <w:tabs>
        <w:tab w:val="left" w:pos="993"/>
      </w:tabs>
      <w:ind w:left="993" w:hanging="425"/>
    </w:pPr>
  </w:style>
  <w:style w:type="paragraph" w:styleId="Quote">
    <w:name w:val="Quote"/>
    <w:basedOn w:val="Normal"/>
    <w:next w:val="Normal"/>
    <w:link w:val="QuoteChar"/>
    <w:uiPriority w:val="29"/>
    <w:qFormat/>
    <w:rsid w:val="004A6D2F"/>
    <w:rPr>
      <w:i/>
      <w:iCs/>
    </w:rPr>
  </w:style>
  <w:style w:type="character" w:styleId="BulletpointsChar" w:customStyle="1">
    <w:name w:val="Bullet points Char"/>
    <w:link w:val="Bulletpoints"/>
    <w:rsid w:val="005570B5"/>
    <w:rPr>
      <w:color w:val="000000"/>
      <w:sz w:val="24"/>
      <w:szCs w:val="24"/>
    </w:rPr>
  </w:style>
  <w:style w:type="character" w:styleId="QuoteChar" w:customStyle="1">
    <w:name w:val="Quote Char"/>
    <w:link w:val="Quote"/>
    <w:uiPriority w:val="29"/>
    <w:rsid w:val="004A6D2F"/>
    <w:rPr>
      <w:rFonts w:ascii="Arial" w:hAnsi="Arial"/>
      <w:i/>
      <w:iCs/>
      <w:color w:val="000000"/>
      <w:sz w:val="24"/>
      <w:szCs w:val="24"/>
      <w:lang w:eastAsia="en-US"/>
    </w:rPr>
  </w:style>
  <w:style w:type="character" w:styleId="FooterChar" w:customStyle="1">
    <w:name w:val="Footer Char"/>
    <w:aliases w:val="zzFooter Char"/>
    <w:link w:val="Footer"/>
    <w:uiPriority w:val="99"/>
    <w:rsid w:val="004B11AE"/>
    <w:rPr>
      <w:color w:val="000000"/>
      <w:sz w:val="18"/>
      <w:szCs w:val="24"/>
    </w:rPr>
  </w:style>
  <w:style w:type="character" w:styleId="Firstpagetablebold" w:customStyle="1">
    <w:name w:val="First page table: bold"/>
    <w:qFormat/>
    <w:rsid w:val="005D1E27"/>
    <w:rPr>
      <w:rFonts w:ascii="Arial" w:hAnsi="Arial"/>
      <w:b/>
      <w:sz w:val="24"/>
    </w:rPr>
  </w:style>
  <w:style w:type="paragraph" w:styleId="bParagraphtext" w:customStyle="1">
    <w:name w:val="bParagraph text"/>
    <w:basedOn w:val="ListParagraph"/>
    <w:link w:val="bParagraphtextChar"/>
    <w:qFormat/>
    <w:rsid w:val="004268B9"/>
  </w:style>
  <w:style w:type="paragraph" w:styleId="Caption">
    <w:name w:val="caption"/>
    <w:basedOn w:val="Normal"/>
    <w:next w:val="Normal"/>
    <w:unhideWhenUsed/>
    <w:qFormat/>
    <w:rsid w:val="0093067A"/>
    <w:pPr>
      <w:spacing w:before="120"/>
      <w:jc w:val="center"/>
    </w:pPr>
    <w:rPr>
      <w:b/>
      <w:bCs/>
      <w:sz w:val="20"/>
      <w:szCs w:val="20"/>
    </w:rPr>
  </w:style>
  <w:style w:type="character" w:styleId="ListParagraphChar" w:customStyle="1">
    <w:name w:val="List Paragraph Char"/>
    <w:link w:val="ListParagraph"/>
    <w:uiPriority w:val="34"/>
    <w:rsid w:val="005570B5"/>
    <w:rPr>
      <w:color w:val="000000"/>
      <w:sz w:val="24"/>
      <w:szCs w:val="24"/>
    </w:rPr>
  </w:style>
  <w:style w:type="character" w:styleId="bParagraphtextChar" w:customStyle="1">
    <w:name w:val="bParagraph text Char"/>
    <w:link w:val="bParagraphtext"/>
    <w:rsid w:val="005570B5"/>
    <w:rPr>
      <w:color w:val="000000"/>
      <w:sz w:val="24"/>
      <w:szCs w:val="24"/>
    </w:rPr>
  </w:style>
  <w:style w:type="paragraph" w:styleId="Numberedlist" w:customStyle="1">
    <w:name w:val="Numbered list"/>
    <w:basedOn w:val="Bulletpoints"/>
    <w:link w:val="NumberedlistChar"/>
    <w:qFormat/>
    <w:rsid w:val="004738C5"/>
    <w:pPr>
      <w:numPr>
        <w:numId w:val="23"/>
      </w:numPr>
      <w:ind w:left="993" w:hanging="426"/>
    </w:pPr>
  </w:style>
  <w:style w:type="character" w:styleId="Heading1Char" w:customStyle="1">
    <w:name w:val="Heading 1 Char"/>
    <w:aliases w:val="aHeading Char"/>
    <w:link w:val="Heading1"/>
    <w:rsid w:val="002B6836"/>
    <w:rPr>
      <w:b/>
      <w:color w:val="000000"/>
      <w:sz w:val="24"/>
      <w:szCs w:val="24"/>
    </w:rPr>
  </w:style>
  <w:style w:type="paragraph" w:styleId="TOAHeading">
    <w:name w:val="toa heading"/>
    <w:basedOn w:val="Normal"/>
    <w:next w:val="Normal"/>
    <w:rsid w:val="005570B5"/>
    <w:pPr>
      <w:spacing w:before="120"/>
    </w:pPr>
    <w:rPr>
      <w:rFonts w:ascii="Cambria" w:hAnsi="Cambria"/>
      <w:b/>
      <w:bCs/>
    </w:rPr>
  </w:style>
  <w:style w:type="character" w:styleId="NumberedlistChar" w:customStyle="1">
    <w:name w:val="Numbered list Char"/>
    <w:link w:val="Numberedlist"/>
    <w:rsid w:val="004738C5"/>
    <w:rPr>
      <w:color w:val="000000"/>
      <w:sz w:val="24"/>
      <w:szCs w:val="24"/>
    </w:rPr>
  </w:style>
  <w:style w:type="table" w:styleId="TableColumns1">
    <w:name w:val="Table Columns 1"/>
    <w:basedOn w:val="TableNormal"/>
    <w:rsid w:val="00507ECC"/>
    <w:pPr>
      <w:spacing w:after="120"/>
    </w:pPr>
    <w:rPr>
      <w:b/>
      <w:bCs/>
    </w:rPr>
    <w:tblPr>
      <w:tblStyleColBandSize w:val="1"/>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4">
    <w:name w:val="Table Classic 4"/>
    <w:basedOn w:val="TableNormal"/>
    <w:rsid w:val="00507ECC"/>
    <w:pPr>
      <w:spacing w:after="120"/>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Grid3">
    <w:name w:val="Table Grid 3"/>
    <w:basedOn w:val="TableNormal"/>
    <w:rsid w:val="00507ECC"/>
    <w:pPr>
      <w:spacing w:after="120"/>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LightList-Accent1">
    <w:name w:val="Light List Accent 1"/>
    <w:basedOn w:val="TableNormal"/>
    <w:uiPriority w:val="61"/>
    <w:rsid w:val="00507ECC"/>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character" w:styleId="UnresolvedMention">
    <w:name w:val="Unresolved Mention"/>
    <w:basedOn w:val="DefaultParagraphFont"/>
    <w:uiPriority w:val="99"/>
    <w:semiHidden/>
    <w:unhideWhenUsed/>
    <w:rsid w:val="003C71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70471">
      <w:bodyDiv w:val="1"/>
      <w:marLeft w:val="0"/>
      <w:marRight w:val="0"/>
      <w:marTop w:val="0"/>
      <w:marBottom w:val="0"/>
      <w:divBdr>
        <w:top w:val="none" w:sz="0" w:space="0" w:color="auto"/>
        <w:left w:val="none" w:sz="0" w:space="0" w:color="auto"/>
        <w:bottom w:val="none" w:sz="0" w:space="0" w:color="auto"/>
        <w:right w:val="none" w:sz="0" w:space="0" w:color="auto"/>
      </w:divBdr>
    </w:div>
    <w:div w:id="255987371">
      <w:bodyDiv w:val="1"/>
      <w:marLeft w:val="0"/>
      <w:marRight w:val="0"/>
      <w:marTop w:val="0"/>
      <w:marBottom w:val="0"/>
      <w:divBdr>
        <w:top w:val="none" w:sz="0" w:space="0" w:color="auto"/>
        <w:left w:val="none" w:sz="0" w:space="0" w:color="auto"/>
        <w:bottom w:val="none" w:sz="0" w:space="0" w:color="auto"/>
        <w:right w:val="none" w:sz="0" w:space="0" w:color="auto"/>
      </w:divBdr>
    </w:div>
    <w:div w:id="261574074">
      <w:bodyDiv w:val="1"/>
      <w:marLeft w:val="0"/>
      <w:marRight w:val="0"/>
      <w:marTop w:val="0"/>
      <w:marBottom w:val="0"/>
      <w:divBdr>
        <w:top w:val="none" w:sz="0" w:space="0" w:color="auto"/>
        <w:left w:val="none" w:sz="0" w:space="0" w:color="auto"/>
        <w:bottom w:val="none" w:sz="0" w:space="0" w:color="auto"/>
        <w:right w:val="none" w:sz="0" w:space="0" w:color="auto"/>
      </w:divBdr>
    </w:div>
    <w:div w:id="373189891">
      <w:bodyDiv w:val="1"/>
      <w:marLeft w:val="0"/>
      <w:marRight w:val="0"/>
      <w:marTop w:val="0"/>
      <w:marBottom w:val="0"/>
      <w:divBdr>
        <w:top w:val="none" w:sz="0" w:space="0" w:color="auto"/>
        <w:left w:val="none" w:sz="0" w:space="0" w:color="auto"/>
        <w:bottom w:val="none" w:sz="0" w:space="0" w:color="auto"/>
        <w:right w:val="none" w:sz="0" w:space="0" w:color="auto"/>
      </w:divBdr>
    </w:div>
    <w:div w:id="565995746">
      <w:bodyDiv w:val="1"/>
      <w:marLeft w:val="0"/>
      <w:marRight w:val="0"/>
      <w:marTop w:val="0"/>
      <w:marBottom w:val="0"/>
      <w:divBdr>
        <w:top w:val="none" w:sz="0" w:space="0" w:color="auto"/>
        <w:left w:val="none" w:sz="0" w:space="0" w:color="auto"/>
        <w:bottom w:val="none" w:sz="0" w:space="0" w:color="auto"/>
        <w:right w:val="none" w:sz="0" w:space="0" w:color="auto"/>
      </w:divBdr>
    </w:div>
    <w:div w:id="674767497">
      <w:bodyDiv w:val="1"/>
      <w:marLeft w:val="0"/>
      <w:marRight w:val="0"/>
      <w:marTop w:val="0"/>
      <w:marBottom w:val="0"/>
      <w:divBdr>
        <w:top w:val="none" w:sz="0" w:space="0" w:color="auto"/>
        <w:left w:val="none" w:sz="0" w:space="0" w:color="auto"/>
        <w:bottom w:val="none" w:sz="0" w:space="0" w:color="auto"/>
        <w:right w:val="none" w:sz="0" w:space="0" w:color="auto"/>
      </w:divBdr>
    </w:div>
    <w:div w:id="715664606">
      <w:bodyDiv w:val="1"/>
      <w:marLeft w:val="0"/>
      <w:marRight w:val="0"/>
      <w:marTop w:val="0"/>
      <w:marBottom w:val="0"/>
      <w:divBdr>
        <w:top w:val="none" w:sz="0" w:space="0" w:color="auto"/>
        <w:left w:val="none" w:sz="0" w:space="0" w:color="auto"/>
        <w:bottom w:val="none" w:sz="0" w:space="0" w:color="auto"/>
        <w:right w:val="none" w:sz="0" w:space="0" w:color="auto"/>
      </w:divBdr>
    </w:div>
    <w:div w:id="896626785">
      <w:bodyDiv w:val="1"/>
      <w:marLeft w:val="0"/>
      <w:marRight w:val="0"/>
      <w:marTop w:val="0"/>
      <w:marBottom w:val="0"/>
      <w:divBdr>
        <w:top w:val="none" w:sz="0" w:space="0" w:color="auto"/>
        <w:left w:val="none" w:sz="0" w:space="0" w:color="auto"/>
        <w:bottom w:val="none" w:sz="0" w:space="0" w:color="auto"/>
        <w:right w:val="none" w:sz="0" w:space="0" w:color="auto"/>
      </w:divBdr>
    </w:div>
    <w:div w:id="1234318887">
      <w:bodyDiv w:val="1"/>
      <w:marLeft w:val="0"/>
      <w:marRight w:val="0"/>
      <w:marTop w:val="0"/>
      <w:marBottom w:val="0"/>
      <w:divBdr>
        <w:top w:val="none" w:sz="0" w:space="0" w:color="auto"/>
        <w:left w:val="none" w:sz="0" w:space="0" w:color="auto"/>
        <w:bottom w:val="none" w:sz="0" w:space="0" w:color="auto"/>
        <w:right w:val="none" w:sz="0" w:space="0" w:color="auto"/>
      </w:divBdr>
    </w:div>
    <w:div w:id="1343970612">
      <w:bodyDiv w:val="1"/>
      <w:marLeft w:val="0"/>
      <w:marRight w:val="0"/>
      <w:marTop w:val="0"/>
      <w:marBottom w:val="0"/>
      <w:divBdr>
        <w:top w:val="none" w:sz="0" w:space="0" w:color="auto"/>
        <w:left w:val="none" w:sz="0" w:space="0" w:color="auto"/>
        <w:bottom w:val="none" w:sz="0" w:space="0" w:color="auto"/>
        <w:right w:val="none" w:sz="0" w:space="0" w:color="auto"/>
      </w:divBdr>
    </w:div>
    <w:div w:id="1454129367">
      <w:bodyDiv w:val="1"/>
      <w:marLeft w:val="0"/>
      <w:marRight w:val="0"/>
      <w:marTop w:val="0"/>
      <w:marBottom w:val="0"/>
      <w:divBdr>
        <w:top w:val="none" w:sz="0" w:space="0" w:color="auto"/>
        <w:left w:val="none" w:sz="0" w:space="0" w:color="auto"/>
        <w:bottom w:val="none" w:sz="0" w:space="0" w:color="auto"/>
        <w:right w:val="none" w:sz="0" w:space="0" w:color="auto"/>
      </w:divBdr>
    </w:div>
    <w:div w:id="146434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mycouncil.oxford.gov.uk/ieDecisionDetails.aspx?ID=2642"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mycouncil.oxford.gov.uk/ieListDocuments.aspx?CId=527&amp;MId=8535&amp;Ver=4"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jmalton@oxford.gov.uk"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mycouncil.oxford.gov.uk/ieDecisionDetails.aspx?ID=2650"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5288C9F99542148A16292699E9EF8DD" ma:contentTypeVersion="12" ma:contentTypeDescription="Create a new document." ma:contentTypeScope="" ma:versionID="275f8b0736f9a3dd37a6dfa317b938d9">
  <xsd:schema xmlns:xsd="http://www.w3.org/2001/XMLSchema" xmlns:xs="http://www.w3.org/2001/XMLSchema" xmlns:p="http://schemas.microsoft.com/office/2006/metadata/properties" xmlns:ns2="767482ae-7241-49c3-8a4f-7ce08acf9f0e" xmlns:ns3="3786fa0e-627d-4c8f-81d4-9acfec184fed" targetNamespace="http://schemas.microsoft.com/office/2006/metadata/properties" ma:root="true" ma:fieldsID="6d671af6009ee3d1f180609449fc9527" ns2:_="" ns3:_="">
    <xsd:import namespace="767482ae-7241-49c3-8a4f-7ce08acf9f0e"/>
    <xsd:import namespace="3786fa0e-627d-4c8f-81d4-9acfec184f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482ae-7241-49c3-8a4f-7ce08acf9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dd4ae1b-e163-46e9-a8ef-d6e330c9a7d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86fa0e-627d-4c8f-81d4-9acfec184fe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b3b9f7-7072-40e0-9d1e-a551a753d0fc}" ma:internalName="TaxCatchAll" ma:showField="CatchAllData" ma:web="3786fa0e-627d-4c8f-81d4-9acfec184f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67482ae-7241-49c3-8a4f-7ce08acf9f0e">
      <Terms xmlns="http://schemas.microsoft.com/office/infopath/2007/PartnerControls"/>
    </lcf76f155ced4ddcb4097134ff3c332f>
    <TaxCatchAll xmlns="3786fa0e-627d-4c8f-81d4-9acfec184fed" xsi:nil="true"/>
  </documentManagement>
</p:properties>
</file>

<file path=customXml/itemProps1.xml><?xml version="1.0" encoding="utf-8"?>
<ds:datastoreItem xmlns:ds="http://schemas.openxmlformats.org/officeDocument/2006/customXml" ds:itemID="{7068D32B-12EC-45C1-9436-4E1E3C5E69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482ae-7241-49c3-8a4f-7ce08acf9f0e"/>
    <ds:schemaRef ds:uri="3786fa0e-627d-4c8f-81d4-9acfec184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6AB859-1359-4A59-AAB8-A2A5B8A58C45}">
  <ds:schemaRefs>
    <ds:schemaRef ds:uri="http://schemas.openxmlformats.org/officeDocument/2006/bibliography"/>
  </ds:schemaRefs>
</ds:datastoreItem>
</file>

<file path=customXml/itemProps3.xml><?xml version="1.0" encoding="utf-8"?>
<ds:datastoreItem xmlns:ds="http://schemas.openxmlformats.org/officeDocument/2006/customXml" ds:itemID="{51064ABB-28E8-41F4-A0F4-239CF0D3BB7C}">
  <ds:schemaRefs>
    <ds:schemaRef ds:uri="http://schemas.microsoft.com/sharepoint/v3/contenttype/forms"/>
  </ds:schemaRefs>
</ds:datastoreItem>
</file>

<file path=customXml/itemProps4.xml><?xml version="1.0" encoding="utf-8"?>
<ds:datastoreItem xmlns:ds="http://schemas.openxmlformats.org/officeDocument/2006/customXml" ds:itemID="{BC9532F7-6F18-4FC9-8EF2-465F9EE42C19}">
  <ds:schemaRefs>
    <ds:schemaRef ds:uri="http://schemas.microsoft.com/office/2006/metadata/properties"/>
    <ds:schemaRef ds:uri="http://schemas.microsoft.com/office/infopath/2007/PartnerControls"/>
    <ds:schemaRef ds:uri="767482ae-7241-49c3-8a4f-7ce08acf9f0e"/>
    <ds:schemaRef ds:uri="3786fa0e-627d-4c8f-81d4-9acfec184fe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Oxford City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OxCityCouncil Cabinet report</dc:title>
  <dc:subject/>
  <dc:creator>jmitchell</dc:creator>
  <keywords>OxCityCouncil Report</keywords>
  <lastModifiedBy>MALTON Jonathan</lastModifiedBy>
  <revision>68</revision>
  <lastPrinted>2015-07-03T21:50:00.0000000Z</lastPrinted>
  <dcterms:created xsi:type="dcterms:W3CDTF">2024-12-10T16:38:00.0000000Z</dcterms:created>
  <dcterms:modified xsi:type="dcterms:W3CDTF">2025-07-04T15:27:05.7487253Z</dcterms:modified>
  <category>Report to Council or Committee</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0x010100B5288C9F99542148A16292699E9EF8DD</vt:lpwstr>
  </property>
  <property fmtid="{D5CDD505-2E9C-101B-9397-08002B2CF9AE}" pid="3" name="MediaServiceImageTags">
    <vt:lpwstr/>
  </property>
</Properties>
</file>